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1000" w:lineRule="exact"/>
        <w:jc w:val="center"/>
        <w:outlineLvl w:val="1"/>
        <w:rPr>
          <w:rFonts w:ascii="黑体" w:hAnsi="宋体" w:eastAsia="黑体"/>
          <w:b/>
          <w:bCs/>
          <w:kern w:val="0"/>
          <w:sz w:val="84"/>
          <w:szCs w:val="84"/>
        </w:rPr>
      </w:pPr>
    </w:p>
    <w:p>
      <w:pPr>
        <w:spacing w:before="100" w:beforeAutospacing="1" w:after="100" w:afterAutospacing="1" w:line="1000" w:lineRule="exact"/>
        <w:jc w:val="center"/>
        <w:outlineLvl w:val="1"/>
        <w:rPr>
          <w:rFonts w:ascii="黑体" w:hAnsi="宋体" w:eastAsia="黑体"/>
          <w:b/>
          <w:bCs/>
          <w:kern w:val="0"/>
          <w:sz w:val="84"/>
          <w:szCs w:val="84"/>
        </w:rPr>
      </w:pPr>
    </w:p>
    <w:p>
      <w:pPr>
        <w:spacing w:before="100" w:beforeAutospacing="1" w:after="100" w:afterAutospacing="1" w:line="1000" w:lineRule="exact"/>
        <w:jc w:val="center"/>
        <w:outlineLvl w:val="1"/>
        <w:rPr>
          <w:rFonts w:ascii="黑体" w:hAnsi="宋体" w:eastAsia="黑体"/>
          <w:b/>
          <w:bCs/>
          <w:kern w:val="0"/>
          <w:sz w:val="84"/>
          <w:szCs w:val="84"/>
        </w:rPr>
      </w:pPr>
    </w:p>
    <w:p>
      <w:pPr>
        <w:spacing w:before="100" w:beforeAutospacing="1" w:after="100" w:afterAutospacing="1" w:line="1000" w:lineRule="exact"/>
        <w:jc w:val="center"/>
        <w:outlineLvl w:val="1"/>
        <w:rPr>
          <w:rFonts w:ascii="黑体" w:hAnsi="宋体" w:eastAsia="黑体"/>
          <w:b/>
          <w:bCs/>
          <w:kern w:val="0"/>
          <w:sz w:val="84"/>
          <w:szCs w:val="84"/>
        </w:rPr>
      </w:pPr>
      <w:r>
        <w:rPr>
          <w:rFonts w:ascii="黑体" w:hAnsi="宋体" w:eastAsia="黑体" w:cs="黑体"/>
          <w:b/>
          <w:bCs/>
          <w:kern w:val="0"/>
          <w:sz w:val="84"/>
          <w:szCs w:val="84"/>
        </w:rPr>
        <w:t>2016</w:t>
      </w:r>
      <w:r>
        <w:rPr>
          <w:rFonts w:hint="eastAsia" w:ascii="黑体" w:hAnsi="宋体" w:eastAsia="黑体" w:cs="黑体"/>
          <w:b/>
          <w:bCs/>
          <w:kern w:val="0"/>
          <w:sz w:val="84"/>
          <w:szCs w:val="84"/>
        </w:rPr>
        <w:t>年度</w:t>
      </w:r>
    </w:p>
    <w:p>
      <w:pPr>
        <w:spacing w:before="100" w:beforeAutospacing="1" w:after="100" w:afterAutospacing="1" w:line="1000" w:lineRule="exact"/>
        <w:jc w:val="center"/>
        <w:outlineLvl w:val="1"/>
        <w:rPr>
          <w:rFonts w:ascii="黑体" w:hAnsi="宋体" w:eastAsia="黑体"/>
          <w:b/>
          <w:bCs/>
          <w:kern w:val="0"/>
          <w:sz w:val="72"/>
          <w:szCs w:val="72"/>
        </w:rPr>
      </w:pPr>
      <w:r>
        <w:rPr>
          <w:rFonts w:hint="eastAsia" w:ascii="黑体" w:hAnsi="宋体" w:eastAsia="黑体" w:cs="黑体"/>
          <w:b/>
          <w:bCs/>
          <w:kern w:val="0"/>
          <w:sz w:val="72"/>
          <w:szCs w:val="72"/>
        </w:rPr>
        <w:t>宁夏回族自治区人民医院部门决算</w:t>
      </w: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ind w:right="31680" w:rightChars="-94"/>
        <w:jc w:val="center"/>
        <w:outlineLvl w:val="1"/>
        <w:rPr>
          <w:rFonts w:ascii="黑体" w:hAnsi="宋体" w:eastAsia="黑体"/>
          <w:b/>
          <w:bCs/>
          <w:kern w:val="0"/>
          <w:sz w:val="72"/>
          <w:szCs w:val="72"/>
        </w:rPr>
      </w:pPr>
    </w:p>
    <w:p>
      <w:pPr>
        <w:spacing w:line="580" w:lineRule="exact"/>
        <w:jc w:val="center"/>
        <w:outlineLvl w:val="1"/>
        <w:rPr>
          <w:b/>
          <w:bCs/>
          <w:kern w:val="0"/>
          <w:sz w:val="44"/>
          <w:szCs w:val="44"/>
        </w:rPr>
      </w:pPr>
      <w:r>
        <w:rPr>
          <w:rFonts w:hint="eastAsia" w:hAnsi="宋体" w:cs="宋体"/>
          <w:b/>
          <w:bCs/>
          <w:kern w:val="0"/>
          <w:sz w:val="44"/>
          <w:szCs w:val="44"/>
        </w:rPr>
        <w:t>目录</w:t>
      </w:r>
    </w:p>
    <w:p>
      <w:pPr>
        <w:spacing w:line="580" w:lineRule="exact"/>
        <w:jc w:val="center"/>
        <w:outlineLvl w:val="1"/>
        <w:rPr>
          <w:b/>
          <w:bCs/>
          <w:kern w:val="0"/>
          <w:sz w:val="44"/>
          <w:szCs w:val="44"/>
        </w:rPr>
      </w:pPr>
    </w:p>
    <w:p>
      <w:pPr>
        <w:spacing w:line="580" w:lineRule="exact"/>
        <w:ind w:firstLine="31680" w:firstLineChars="49"/>
        <w:outlineLvl w:val="1"/>
        <w:rPr>
          <w:rFonts w:eastAsia="仿宋_GB2312"/>
          <w:b/>
          <w:bCs/>
          <w:kern w:val="0"/>
          <w:sz w:val="32"/>
          <w:szCs w:val="32"/>
        </w:rPr>
      </w:pPr>
      <w:r>
        <w:rPr>
          <w:rFonts w:hint="eastAsia" w:eastAsia="仿宋_GB2312" w:cs="仿宋_GB2312"/>
          <w:b/>
          <w:bCs/>
          <w:kern w:val="0"/>
          <w:sz w:val="32"/>
          <w:szCs w:val="32"/>
        </w:rPr>
        <w:t>第一部分</w:t>
      </w:r>
      <w:r>
        <w:rPr>
          <w:rFonts w:eastAsia="仿宋_GB2312"/>
          <w:b/>
          <w:bCs/>
          <w:kern w:val="0"/>
          <w:sz w:val="32"/>
          <w:szCs w:val="32"/>
        </w:rPr>
        <w:t xml:space="preserve">  </w:t>
      </w:r>
      <w:r>
        <w:rPr>
          <w:rFonts w:hint="eastAsia" w:eastAsia="仿宋_GB2312" w:cs="仿宋_GB2312"/>
          <w:b/>
          <w:bCs/>
          <w:kern w:val="0"/>
          <w:sz w:val="32"/>
          <w:szCs w:val="32"/>
        </w:rPr>
        <w:t>单位概况</w:t>
      </w:r>
    </w:p>
    <w:p>
      <w:pPr>
        <w:spacing w:line="580" w:lineRule="exact"/>
        <w:ind w:firstLine="31680" w:firstLineChars="245"/>
        <w:outlineLvl w:val="1"/>
        <w:rPr>
          <w:rFonts w:eastAsia="仿宋_GB2312"/>
          <w:b/>
          <w:bCs/>
          <w:kern w:val="0"/>
          <w:sz w:val="32"/>
          <w:szCs w:val="32"/>
        </w:rPr>
      </w:pPr>
      <w:r>
        <w:rPr>
          <w:rFonts w:hint="eastAsia" w:eastAsia="仿宋_GB2312" w:cs="仿宋_GB2312"/>
          <w:kern w:val="0"/>
          <w:sz w:val="32"/>
          <w:szCs w:val="32"/>
        </w:rPr>
        <w:t>一、主要职能</w:t>
      </w:r>
    </w:p>
    <w:p>
      <w:pPr>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二、部门决算单位构成</w:t>
      </w:r>
    </w:p>
    <w:p>
      <w:pPr>
        <w:spacing w:beforeLines="50" w:line="580" w:lineRule="exact"/>
        <w:ind w:firstLine="31680" w:firstLineChars="49"/>
        <w:outlineLvl w:val="1"/>
        <w:rPr>
          <w:rFonts w:eastAsia="仿宋_GB2312"/>
          <w:b/>
          <w:bCs/>
          <w:kern w:val="0"/>
          <w:sz w:val="32"/>
          <w:szCs w:val="32"/>
        </w:rPr>
      </w:pPr>
      <w:r>
        <w:rPr>
          <w:rFonts w:hint="eastAsia" w:eastAsia="仿宋_GB2312" w:cs="仿宋_GB2312"/>
          <w:b/>
          <w:bCs/>
          <w:kern w:val="0"/>
          <w:sz w:val="32"/>
          <w:szCs w:val="32"/>
        </w:rPr>
        <w:t>第二部分</w:t>
      </w:r>
      <w:r>
        <w:rPr>
          <w:rFonts w:eastAsia="仿宋_GB2312"/>
          <w:b/>
          <w:bCs/>
          <w:kern w:val="0"/>
          <w:sz w:val="32"/>
          <w:szCs w:val="32"/>
        </w:rPr>
        <w:t xml:space="preserve">  2016</w:t>
      </w:r>
      <w:r>
        <w:rPr>
          <w:rFonts w:hint="eastAsia" w:eastAsia="仿宋_GB2312" w:cs="仿宋_GB2312"/>
          <w:b/>
          <w:bCs/>
          <w:kern w:val="0"/>
          <w:sz w:val="32"/>
          <w:szCs w:val="32"/>
        </w:rPr>
        <w:t>年度部门决算表</w:t>
      </w:r>
    </w:p>
    <w:p>
      <w:pPr>
        <w:spacing w:line="580" w:lineRule="exact"/>
        <w:ind w:firstLine="31680" w:firstLineChars="250"/>
        <w:rPr>
          <w:rFonts w:eastAsia="仿宋_GB2312"/>
          <w:sz w:val="32"/>
          <w:szCs w:val="32"/>
        </w:rPr>
      </w:pPr>
      <w:r>
        <w:rPr>
          <w:rFonts w:hint="eastAsia" w:eastAsia="仿宋_GB2312" w:cs="仿宋_GB2312"/>
          <w:sz w:val="32"/>
          <w:szCs w:val="32"/>
        </w:rPr>
        <w:t>一、收入支出决算总表</w:t>
      </w:r>
    </w:p>
    <w:p>
      <w:pPr>
        <w:spacing w:line="580" w:lineRule="exact"/>
        <w:ind w:firstLine="31680" w:firstLineChars="250"/>
        <w:rPr>
          <w:rFonts w:eastAsia="仿宋_GB2312"/>
          <w:sz w:val="32"/>
          <w:szCs w:val="32"/>
        </w:rPr>
      </w:pPr>
      <w:r>
        <w:rPr>
          <w:rFonts w:hint="eastAsia" w:eastAsia="仿宋_GB2312" w:cs="仿宋_GB2312"/>
          <w:sz w:val="32"/>
          <w:szCs w:val="32"/>
        </w:rPr>
        <w:t>二、收入决算表</w:t>
      </w:r>
    </w:p>
    <w:p>
      <w:pPr>
        <w:spacing w:line="580" w:lineRule="exact"/>
        <w:ind w:firstLine="31680" w:firstLineChars="250"/>
        <w:rPr>
          <w:rFonts w:eastAsia="仿宋_GB2312"/>
          <w:sz w:val="32"/>
          <w:szCs w:val="32"/>
        </w:rPr>
      </w:pPr>
      <w:r>
        <w:rPr>
          <w:rFonts w:hint="eastAsia" w:eastAsia="仿宋_GB2312" w:cs="仿宋_GB2312"/>
          <w:sz w:val="32"/>
          <w:szCs w:val="32"/>
        </w:rPr>
        <w:t>三、支出决算表</w:t>
      </w:r>
    </w:p>
    <w:p>
      <w:pPr>
        <w:spacing w:line="580" w:lineRule="exact"/>
        <w:ind w:firstLine="31680" w:firstLineChars="250"/>
        <w:rPr>
          <w:rFonts w:eastAsia="仿宋_GB2312"/>
          <w:sz w:val="32"/>
          <w:szCs w:val="32"/>
        </w:rPr>
      </w:pPr>
      <w:r>
        <w:rPr>
          <w:rFonts w:hint="eastAsia" w:eastAsia="仿宋_GB2312" w:cs="仿宋_GB2312"/>
          <w:sz w:val="32"/>
          <w:szCs w:val="32"/>
        </w:rPr>
        <w:t>四、财政拨款收入支出决算总表</w:t>
      </w:r>
    </w:p>
    <w:p>
      <w:pPr>
        <w:spacing w:line="580" w:lineRule="exact"/>
        <w:ind w:firstLine="31680" w:firstLineChars="250"/>
        <w:rPr>
          <w:rFonts w:eastAsia="仿宋_GB2312"/>
          <w:sz w:val="32"/>
          <w:szCs w:val="32"/>
        </w:rPr>
      </w:pPr>
      <w:r>
        <w:rPr>
          <w:rFonts w:hint="eastAsia" w:eastAsia="仿宋_GB2312" w:cs="仿宋_GB2312"/>
          <w:sz w:val="32"/>
          <w:szCs w:val="32"/>
        </w:rPr>
        <w:t>五、一般公共预算财政拨款支出决算表</w:t>
      </w:r>
    </w:p>
    <w:p>
      <w:pPr>
        <w:spacing w:line="580" w:lineRule="exact"/>
        <w:ind w:firstLine="31680" w:firstLineChars="250"/>
        <w:rPr>
          <w:rFonts w:eastAsia="仿宋_GB2312"/>
          <w:sz w:val="32"/>
          <w:szCs w:val="32"/>
        </w:rPr>
      </w:pPr>
      <w:r>
        <w:rPr>
          <w:rFonts w:hint="eastAsia" w:eastAsia="仿宋_GB2312" w:cs="仿宋_GB2312"/>
          <w:sz w:val="32"/>
          <w:szCs w:val="32"/>
        </w:rPr>
        <w:t>六、一般公共预算财政拨款基本支出决算表</w:t>
      </w:r>
    </w:p>
    <w:p>
      <w:pPr>
        <w:spacing w:line="580" w:lineRule="exact"/>
        <w:ind w:firstLine="31680" w:firstLineChars="250"/>
        <w:rPr>
          <w:rFonts w:eastAsia="仿宋_GB2312"/>
          <w:sz w:val="32"/>
          <w:szCs w:val="32"/>
        </w:rPr>
      </w:pPr>
      <w:r>
        <w:rPr>
          <w:rFonts w:hint="eastAsia" w:eastAsia="仿宋_GB2312" w:cs="仿宋_GB2312"/>
          <w:spacing w:val="6"/>
          <w:sz w:val="32"/>
          <w:szCs w:val="32"/>
        </w:rPr>
        <w:t>七、</w:t>
      </w:r>
      <w:r>
        <w:rPr>
          <w:rFonts w:hint="eastAsia" w:eastAsia="仿宋_GB2312" w:cs="仿宋_GB2312"/>
          <w:sz w:val="32"/>
          <w:szCs w:val="32"/>
        </w:rPr>
        <w:t>一般公共预算财政拨款</w:t>
      </w:r>
      <w:r>
        <w:rPr>
          <w:rFonts w:eastAsia="仿宋_GB2312"/>
          <w:sz w:val="32"/>
          <w:szCs w:val="32"/>
        </w:rPr>
        <w:t>“</w:t>
      </w:r>
      <w:r>
        <w:rPr>
          <w:rFonts w:hint="eastAsia" w:eastAsia="仿宋_GB2312" w:cs="仿宋_GB2312"/>
          <w:sz w:val="32"/>
          <w:szCs w:val="32"/>
        </w:rPr>
        <w:t>三公</w:t>
      </w:r>
      <w:r>
        <w:rPr>
          <w:rFonts w:eastAsia="仿宋_GB2312"/>
          <w:sz w:val="32"/>
          <w:szCs w:val="32"/>
        </w:rPr>
        <w:t>”</w:t>
      </w:r>
      <w:r>
        <w:rPr>
          <w:rFonts w:hint="eastAsia" w:eastAsia="仿宋_GB2312" w:cs="仿宋_GB2312"/>
          <w:sz w:val="32"/>
          <w:szCs w:val="32"/>
        </w:rPr>
        <w:t>经费支出决算表</w:t>
      </w:r>
    </w:p>
    <w:p>
      <w:pPr>
        <w:spacing w:line="580" w:lineRule="exact"/>
        <w:ind w:firstLine="31680" w:firstLineChars="250"/>
        <w:rPr>
          <w:rFonts w:eastAsia="仿宋_GB2312"/>
          <w:sz w:val="32"/>
          <w:szCs w:val="32"/>
        </w:rPr>
      </w:pPr>
      <w:r>
        <w:rPr>
          <w:rFonts w:hint="eastAsia" w:eastAsia="仿宋_GB2312" w:cs="仿宋_GB2312"/>
          <w:sz w:val="32"/>
          <w:szCs w:val="32"/>
        </w:rPr>
        <w:t>八、政府性基金预算财政拨款收入支出决算表</w:t>
      </w:r>
    </w:p>
    <w:p>
      <w:pPr>
        <w:spacing w:beforeLines="50" w:line="580" w:lineRule="exact"/>
        <w:ind w:firstLine="31680" w:firstLineChars="49"/>
        <w:outlineLvl w:val="1"/>
        <w:rPr>
          <w:rFonts w:eastAsia="仿宋_GB2312"/>
          <w:b/>
          <w:bCs/>
          <w:kern w:val="0"/>
          <w:sz w:val="32"/>
          <w:szCs w:val="32"/>
        </w:rPr>
      </w:pPr>
      <w:r>
        <w:rPr>
          <w:rFonts w:hint="eastAsia" w:eastAsia="仿宋_GB2312" w:cs="仿宋_GB2312"/>
          <w:b/>
          <w:bCs/>
          <w:kern w:val="0"/>
          <w:sz w:val="32"/>
          <w:szCs w:val="32"/>
        </w:rPr>
        <w:t>第三部分</w:t>
      </w:r>
      <w:r>
        <w:rPr>
          <w:rFonts w:eastAsia="仿宋_GB2312"/>
          <w:b/>
          <w:bCs/>
          <w:kern w:val="0"/>
          <w:sz w:val="32"/>
          <w:szCs w:val="32"/>
        </w:rPr>
        <w:t xml:space="preserve">  2016</w:t>
      </w:r>
      <w:r>
        <w:rPr>
          <w:rFonts w:hint="eastAsia" w:eastAsia="仿宋_GB2312" w:cs="仿宋_GB2312"/>
          <w:b/>
          <w:bCs/>
          <w:kern w:val="0"/>
          <w:sz w:val="32"/>
          <w:szCs w:val="32"/>
        </w:rPr>
        <w:t>年度部门决算情况说明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一、关于</w:t>
      </w:r>
      <w:r>
        <w:rPr>
          <w:rFonts w:eastAsia="仿宋_GB2312"/>
          <w:kern w:val="0"/>
          <w:sz w:val="32"/>
          <w:szCs w:val="32"/>
        </w:rPr>
        <w:t>2016</w:t>
      </w:r>
      <w:r>
        <w:rPr>
          <w:rFonts w:hint="eastAsia" w:eastAsia="仿宋_GB2312" w:cs="仿宋_GB2312"/>
          <w:kern w:val="0"/>
          <w:sz w:val="32"/>
          <w:szCs w:val="32"/>
        </w:rPr>
        <w:t>年度收入支出决算总体情况说明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二、关于</w:t>
      </w:r>
      <w:r>
        <w:rPr>
          <w:rFonts w:eastAsia="仿宋_GB2312"/>
          <w:kern w:val="0"/>
          <w:sz w:val="32"/>
          <w:szCs w:val="32"/>
        </w:rPr>
        <w:t>2016</w:t>
      </w:r>
      <w:r>
        <w:rPr>
          <w:rFonts w:hint="eastAsia" w:eastAsia="仿宋_GB2312" w:cs="仿宋_GB2312"/>
          <w:kern w:val="0"/>
          <w:sz w:val="32"/>
          <w:szCs w:val="32"/>
        </w:rPr>
        <w:t>年度收入决算情况说明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三、关于</w:t>
      </w:r>
      <w:r>
        <w:rPr>
          <w:rFonts w:eastAsia="仿宋_GB2312"/>
          <w:kern w:val="0"/>
          <w:sz w:val="32"/>
          <w:szCs w:val="32"/>
        </w:rPr>
        <w:t>2016</w:t>
      </w:r>
      <w:r>
        <w:rPr>
          <w:rFonts w:hint="eastAsia" w:eastAsia="仿宋_GB2312" w:cs="仿宋_GB2312"/>
          <w:kern w:val="0"/>
          <w:sz w:val="32"/>
          <w:szCs w:val="32"/>
        </w:rPr>
        <w:t>年度支出决算情况说明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四、关于</w:t>
      </w:r>
      <w:r>
        <w:rPr>
          <w:rFonts w:eastAsia="仿宋_GB2312"/>
          <w:kern w:val="0"/>
          <w:sz w:val="32"/>
          <w:szCs w:val="32"/>
        </w:rPr>
        <w:t>2016</w:t>
      </w:r>
      <w:r>
        <w:rPr>
          <w:rFonts w:hint="eastAsia" w:eastAsia="仿宋_GB2312" w:cs="仿宋_GB2312"/>
          <w:kern w:val="0"/>
          <w:sz w:val="32"/>
          <w:szCs w:val="32"/>
        </w:rPr>
        <w:t>年度财政拨款收入支出决算总体情况说明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五、关于</w:t>
      </w:r>
      <w:r>
        <w:rPr>
          <w:rFonts w:eastAsia="仿宋_GB2312"/>
          <w:kern w:val="0"/>
          <w:sz w:val="32"/>
          <w:szCs w:val="32"/>
        </w:rPr>
        <w:t>2016</w:t>
      </w:r>
      <w:r>
        <w:rPr>
          <w:rFonts w:hint="eastAsia" w:eastAsia="仿宋_GB2312" w:cs="仿宋_GB2312"/>
          <w:kern w:val="0"/>
          <w:sz w:val="32"/>
          <w:szCs w:val="32"/>
        </w:rPr>
        <w:t>年度一般公共预算财政拨款支出决算情况说明</w:t>
      </w:r>
    </w:p>
    <w:p>
      <w:pPr>
        <w:spacing w:line="580" w:lineRule="exact"/>
        <w:outlineLvl w:val="1"/>
        <w:rPr>
          <w:rFonts w:eastAsia="仿宋_GB2312"/>
          <w:kern w:val="0"/>
          <w:sz w:val="32"/>
          <w:szCs w:val="32"/>
        </w:rPr>
      </w:pPr>
      <w:r>
        <w:rPr>
          <w:rFonts w:eastAsia="仿宋_GB2312"/>
          <w:kern w:val="0"/>
          <w:sz w:val="32"/>
          <w:szCs w:val="32"/>
        </w:rPr>
        <w:t xml:space="preserve">     </w:t>
      </w:r>
      <w:r>
        <w:rPr>
          <w:rFonts w:hint="eastAsia" w:eastAsia="仿宋_GB2312" w:cs="仿宋_GB2312"/>
          <w:kern w:val="0"/>
          <w:sz w:val="32"/>
          <w:szCs w:val="32"/>
        </w:rPr>
        <w:t>六、关于</w:t>
      </w:r>
      <w:r>
        <w:rPr>
          <w:rFonts w:eastAsia="仿宋_GB2312"/>
          <w:kern w:val="0"/>
          <w:sz w:val="32"/>
          <w:szCs w:val="32"/>
        </w:rPr>
        <w:t>2016</w:t>
      </w:r>
      <w:r>
        <w:rPr>
          <w:rFonts w:hint="eastAsia" w:eastAsia="仿宋_GB2312" w:cs="仿宋_GB2312"/>
          <w:kern w:val="0"/>
          <w:sz w:val="32"/>
          <w:szCs w:val="32"/>
        </w:rPr>
        <w:t>年度一般公共预算财政拨款基本支出决算情况说明</w:t>
      </w:r>
    </w:p>
    <w:p>
      <w:pPr>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七、关于</w:t>
      </w:r>
      <w:r>
        <w:rPr>
          <w:rFonts w:eastAsia="仿宋_GB2312"/>
          <w:kern w:val="0"/>
          <w:sz w:val="32"/>
          <w:szCs w:val="32"/>
        </w:rPr>
        <w:t>2016</w:t>
      </w:r>
      <w:r>
        <w:rPr>
          <w:rFonts w:hint="eastAsia" w:eastAsia="仿宋_GB2312" w:cs="仿宋_GB2312"/>
          <w:kern w:val="0"/>
          <w:sz w:val="32"/>
          <w:szCs w:val="32"/>
        </w:rPr>
        <w:t>年度一般公共预算财政拨款</w:t>
      </w:r>
      <w:r>
        <w:rPr>
          <w:rFonts w:eastAsia="仿宋_GB2312"/>
          <w:kern w:val="0"/>
          <w:sz w:val="32"/>
          <w:szCs w:val="32"/>
        </w:rPr>
        <w:t>“</w:t>
      </w:r>
      <w:r>
        <w:rPr>
          <w:rFonts w:hint="eastAsia" w:eastAsia="仿宋_GB2312" w:cs="仿宋_GB2312"/>
          <w:kern w:val="0"/>
          <w:sz w:val="32"/>
          <w:szCs w:val="32"/>
        </w:rPr>
        <w:t>三公</w:t>
      </w:r>
      <w:r>
        <w:rPr>
          <w:rFonts w:eastAsia="仿宋_GB2312"/>
          <w:kern w:val="0"/>
          <w:sz w:val="32"/>
          <w:szCs w:val="32"/>
        </w:rPr>
        <w:t>”</w:t>
      </w:r>
      <w:r>
        <w:rPr>
          <w:rFonts w:hint="eastAsia" w:eastAsia="仿宋_GB2312" w:cs="仿宋_GB2312"/>
          <w:kern w:val="0"/>
          <w:sz w:val="32"/>
          <w:szCs w:val="32"/>
        </w:rPr>
        <w:t>经费支出决算情况说明</w:t>
      </w:r>
    </w:p>
    <w:p>
      <w:pPr>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八、关于</w:t>
      </w:r>
      <w:r>
        <w:rPr>
          <w:rFonts w:eastAsia="仿宋_GB2312"/>
          <w:kern w:val="0"/>
          <w:sz w:val="32"/>
          <w:szCs w:val="32"/>
        </w:rPr>
        <w:t>2016</w:t>
      </w:r>
      <w:r>
        <w:rPr>
          <w:rFonts w:hint="eastAsia" w:eastAsia="仿宋_GB2312" w:cs="仿宋_GB2312"/>
          <w:kern w:val="0"/>
          <w:sz w:val="32"/>
          <w:szCs w:val="32"/>
        </w:rPr>
        <w:t>年度政府性基金预算财政拨款收入支出决算情况说明</w:t>
      </w:r>
    </w:p>
    <w:p>
      <w:pPr>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九、其他重要事项的情况说明</w:t>
      </w:r>
    </w:p>
    <w:p>
      <w:pPr>
        <w:tabs>
          <w:tab w:val="right" w:pos="8306"/>
        </w:tabs>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（一）政府采购情况说明</w:t>
      </w:r>
      <w:r>
        <w:rPr>
          <w:rFonts w:eastAsia="仿宋_GB2312"/>
          <w:kern w:val="0"/>
          <w:sz w:val="32"/>
          <w:szCs w:val="32"/>
        </w:rPr>
        <w:tab/>
      </w:r>
    </w:p>
    <w:p>
      <w:pPr>
        <w:spacing w:line="580" w:lineRule="exact"/>
        <w:ind w:firstLine="31680" w:firstLineChars="250"/>
        <w:outlineLvl w:val="1"/>
        <w:rPr>
          <w:rFonts w:eastAsia="仿宋_GB2312"/>
          <w:kern w:val="0"/>
          <w:sz w:val="32"/>
          <w:szCs w:val="32"/>
        </w:rPr>
      </w:pPr>
      <w:r>
        <w:rPr>
          <w:rFonts w:hint="eastAsia" w:eastAsia="仿宋_GB2312" w:cs="仿宋_GB2312"/>
          <w:kern w:val="0"/>
          <w:sz w:val="32"/>
          <w:szCs w:val="32"/>
        </w:rPr>
        <w:t>（二）国有资产占有使用情况说明</w:t>
      </w: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spacing w:before="100" w:beforeAutospacing="1" w:after="100" w:afterAutospacing="1" w:line="1000" w:lineRule="exact"/>
        <w:jc w:val="center"/>
        <w:outlineLvl w:val="1"/>
        <w:rPr>
          <w:rFonts w:ascii="黑体" w:hAnsi="宋体" w:eastAsia="黑体"/>
          <w:b/>
          <w:bCs/>
          <w:kern w:val="0"/>
          <w:sz w:val="72"/>
          <w:szCs w:val="72"/>
        </w:rPr>
      </w:pPr>
    </w:p>
    <w:p>
      <w:pPr>
        <w:widowControl/>
        <w:jc w:val="center"/>
        <w:outlineLvl w:val="1"/>
        <w:rPr>
          <w:rFonts w:ascii="方正小标宋_GBK" w:hAnsi="宋体" w:eastAsia="方正小标宋_GBK"/>
          <w:kern w:val="0"/>
          <w:sz w:val="44"/>
          <w:szCs w:val="44"/>
        </w:rPr>
      </w:pPr>
    </w:p>
    <w:p>
      <w:pPr>
        <w:widowControl/>
        <w:jc w:val="center"/>
        <w:outlineLvl w:val="1"/>
        <w:rPr>
          <w:rFonts w:ascii="方正小标宋_GBK" w:hAnsi="宋体" w:eastAsia="方正小标宋_GBK"/>
          <w:kern w:val="0"/>
          <w:sz w:val="44"/>
          <w:szCs w:val="44"/>
        </w:rPr>
      </w:pPr>
    </w:p>
    <w:p>
      <w:pPr>
        <w:widowControl/>
        <w:jc w:val="center"/>
        <w:outlineLvl w:val="1"/>
        <w:rPr>
          <w:rFonts w:ascii="方正小标宋_GBK" w:hAnsi="宋体" w:eastAsia="方正小标宋_GBK"/>
          <w:kern w:val="0"/>
          <w:sz w:val="44"/>
          <w:szCs w:val="44"/>
        </w:rPr>
      </w:pPr>
      <w:r>
        <w:rPr>
          <w:rFonts w:hint="eastAsia" w:ascii="方正小标宋_GBK" w:hAnsi="宋体" w:eastAsia="方正小标宋_GBK" w:cs="方正小标宋_GBK"/>
          <w:kern w:val="0"/>
          <w:sz w:val="44"/>
          <w:szCs w:val="44"/>
        </w:rPr>
        <w:t>第一部分</w:t>
      </w:r>
      <w:r>
        <w:rPr>
          <w:rFonts w:ascii="方正小标宋_GBK" w:hAnsi="宋体" w:eastAsia="方正小标宋_GBK" w:cs="方正小标宋_GBK"/>
          <w:kern w:val="0"/>
          <w:sz w:val="44"/>
          <w:szCs w:val="44"/>
        </w:rPr>
        <w:t xml:space="preserve">  </w:t>
      </w:r>
      <w:r>
        <w:rPr>
          <w:rFonts w:hint="eastAsia" w:ascii="方正小标宋_GBK" w:hAnsi="宋体" w:eastAsia="方正小标宋_GBK" w:cs="方正小标宋_GBK"/>
          <w:kern w:val="0"/>
          <w:sz w:val="44"/>
          <w:szCs w:val="44"/>
        </w:rPr>
        <w:t>单位概况</w:t>
      </w:r>
    </w:p>
    <w:p>
      <w:pPr>
        <w:widowControl/>
        <w:spacing w:line="560" w:lineRule="exact"/>
        <w:jc w:val="left"/>
        <w:rPr>
          <w:rFonts w:ascii="黑体" w:hAnsi="黑体" w:eastAsia="黑体"/>
          <w:b/>
          <w:bCs/>
          <w:kern w:val="0"/>
          <w:sz w:val="32"/>
          <w:szCs w:val="32"/>
        </w:rPr>
      </w:pPr>
      <w:r>
        <w:rPr>
          <w:rFonts w:ascii="仿宋_GB2312" w:hAnsi="宋体" w:eastAsia="仿宋_GB2312" w:cs="仿宋_GB2312"/>
          <w:kern w:val="0"/>
          <w:sz w:val="32"/>
          <w:szCs w:val="32"/>
        </w:rPr>
        <w:t xml:space="preserve"> </w:t>
      </w:r>
    </w:p>
    <w:p>
      <w:pPr>
        <w:widowControl/>
        <w:spacing w:line="560" w:lineRule="exact"/>
        <w:ind w:firstLine="480"/>
        <w:jc w:val="left"/>
        <w:rPr>
          <w:rFonts w:ascii="黑体" w:hAnsi="黑体" w:eastAsia="黑体"/>
          <w:kern w:val="0"/>
          <w:sz w:val="32"/>
          <w:szCs w:val="32"/>
        </w:rPr>
      </w:pPr>
      <w:r>
        <w:rPr>
          <w:rFonts w:hint="eastAsia" w:ascii="仿宋_GB2312" w:hAnsi="宋体" w:eastAsia="仿宋_GB2312" w:cs="仿宋_GB2312"/>
          <w:kern w:val="0"/>
          <w:sz w:val="32"/>
          <w:szCs w:val="32"/>
        </w:rPr>
        <w:t>　</w:t>
      </w:r>
      <w:r>
        <w:rPr>
          <w:rFonts w:hint="eastAsia" w:ascii="黑体" w:hAnsi="黑体" w:eastAsia="黑体" w:cs="黑体"/>
          <w:kern w:val="0"/>
          <w:sz w:val="32"/>
          <w:szCs w:val="32"/>
        </w:rPr>
        <w:t>一、主要职能</w:t>
      </w:r>
    </w:p>
    <w:p>
      <w:pPr>
        <w:widowControl/>
        <w:spacing w:line="560" w:lineRule="exact"/>
        <w:jc w:val="left"/>
        <w:rPr>
          <w:rFonts w:ascii="仿宋_GB2312" w:hAnsi="宋体" w:eastAsia="仿宋_GB2312"/>
          <w:kern w:val="0"/>
          <w:sz w:val="32"/>
          <w:szCs w:val="32"/>
        </w:rPr>
      </w:pPr>
      <w:r>
        <w:rPr>
          <w:rFonts w:ascii="黑体" w:hAnsi="黑体" w:eastAsia="黑体" w:cs="黑体"/>
          <w:kern w:val="0"/>
          <w:sz w:val="32"/>
          <w:szCs w:val="32"/>
        </w:rPr>
        <w:t xml:space="preserve">   </w:t>
      </w:r>
      <w:r>
        <w:rPr>
          <w:rFonts w:ascii="仿宋_GB2312" w:hAnsi="黑体" w:eastAsia="仿宋_GB2312" w:cs="仿宋_GB2312"/>
          <w:kern w:val="0"/>
          <w:sz w:val="32"/>
          <w:szCs w:val="32"/>
        </w:rPr>
        <w:t xml:space="preserve"> </w:t>
      </w:r>
      <w:r>
        <w:rPr>
          <w:rFonts w:hint="eastAsia" w:ascii="仿宋_GB2312" w:hAnsi="微软雅黑" w:eastAsia="仿宋_GB2312" w:cs="仿宋_GB2312"/>
          <w:kern w:val="0"/>
          <w:sz w:val="32"/>
          <w:szCs w:val="32"/>
        </w:rPr>
        <w:t>宁夏回族自治区人民医院创建于</w:t>
      </w:r>
      <w:r>
        <w:rPr>
          <w:rFonts w:ascii="仿宋_GB2312" w:hAnsi="微软雅黑" w:eastAsia="仿宋_GB2312" w:cs="仿宋_GB2312"/>
          <w:kern w:val="0"/>
          <w:sz w:val="32"/>
          <w:szCs w:val="32"/>
        </w:rPr>
        <w:t>1971</w:t>
      </w:r>
      <w:r>
        <w:rPr>
          <w:rFonts w:hint="eastAsia" w:ascii="仿宋_GB2312" w:hAnsi="微软雅黑" w:eastAsia="仿宋_GB2312" w:cs="仿宋_GB2312"/>
          <w:kern w:val="0"/>
          <w:sz w:val="32"/>
          <w:szCs w:val="32"/>
        </w:rPr>
        <w:t>年，是一所集医疗、教学、科研、预防、保健、康复、急救为一体的三级甲等医院，是西北民族大</w:t>
      </w:r>
      <w:r>
        <w:rPr>
          <w:rFonts w:hint="eastAsia" w:ascii="仿宋_GB2312" w:hAnsi="微软雅黑" w:eastAsia="仿宋_GB2312" w:cs="仿宋_GB2312"/>
          <w:color w:val="auto"/>
          <w:kern w:val="0"/>
          <w:sz w:val="32"/>
          <w:szCs w:val="32"/>
        </w:rPr>
        <w:t>学第一临床医学院</w:t>
      </w:r>
      <w:r>
        <w:rPr>
          <w:rFonts w:hint="eastAsia" w:ascii="仿宋_GB2312" w:hAnsi="微软雅黑" w:eastAsia="仿宋_GB2312" w:cs="仿宋_GB2312"/>
          <w:color w:val="auto"/>
          <w:kern w:val="0"/>
          <w:sz w:val="32"/>
          <w:szCs w:val="32"/>
          <w:lang w:val="en-US" w:eastAsia="zh-CN"/>
        </w:rPr>
        <w:t>暨</w:t>
      </w:r>
      <w:r>
        <w:rPr>
          <w:rFonts w:hint="eastAsia" w:ascii="仿宋_GB2312" w:hAnsi="微软雅黑" w:eastAsia="仿宋_GB2312" w:cs="仿宋_GB2312"/>
          <w:color w:val="auto"/>
          <w:kern w:val="0"/>
          <w:sz w:val="32"/>
          <w:szCs w:val="32"/>
        </w:rPr>
        <w:t>第一附属医院、宁夏医科大学</w:t>
      </w:r>
      <w:r>
        <w:rPr>
          <w:rFonts w:hint="eastAsia" w:ascii="仿宋_GB2312" w:hAnsi="微软雅黑" w:eastAsia="仿宋_GB2312" w:cs="仿宋_GB2312"/>
          <w:color w:val="auto"/>
          <w:kern w:val="0"/>
          <w:sz w:val="32"/>
          <w:szCs w:val="32"/>
          <w:lang w:val="en-US" w:eastAsia="zh-CN"/>
        </w:rPr>
        <w:t>附属医院</w:t>
      </w:r>
      <w:bookmarkStart w:id="0" w:name="_GoBack"/>
      <w:bookmarkEnd w:id="0"/>
      <w:r>
        <w:rPr>
          <w:rFonts w:hint="eastAsia" w:ascii="仿宋_GB2312" w:hAnsi="微软雅黑" w:eastAsia="仿宋_GB2312" w:cs="仿宋_GB2312"/>
          <w:color w:val="auto"/>
          <w:kern w:val="0"/>
          <w:sz w:val="32"/>
          <w:szCs w:val="32"/>
          <w:lang w:val="en-US" w:eastAsia="zh-CN"/>
        </w:rPr>
        <w:t>、</w:t>
      </w:r>
      <w:r>
        <w:rPr>
          <w:rFonts w:hint="eastAsia" w:ascii="仿宋_GB2312" w:hAnsi="微软雅黑" w:eastAsia="仿宋_GB2312" w:cs="仿宋_GB2312"/>
          <w:color w:val="auto"/>
          <w:kern w:val="0"/>
          <w:sz w:val="32"/>
          <w:szCs w:val="32"/>
        </w:rPr>
        <w:t>北方民族大学、第四军医大学教学医院；是全国全科医师培养基地、住院医</w:t>
      </w:r>
      <w:r>
        <w:rPr>
          <w:rFonts w:hint="eastAsia" w:ascii="仿宋_GB2312" w:hAnsi="微软雅黑" w:eastAsia="仿宋_GB2312" w:cs="仿宋_GB2312"/>
          <w:kern w:val="0"/>
          <w:sz w:val="32"/>
          <w:szCs w:val="32"/>
        </w:rPr>
        <w:t>师规范化培训基地；是宁夏外科学院士工作站、宁夏眼科学院士工作站依托单位；是宁夏临床检验、临床质控、护理质控、麻醉质控、临床用血质控制中心。</w:t>
      </w:r>
    </w:p>
    <w:p>
      <w:pPr>
        <w:widowControl/>
        <w:spacing w:line="560" w:lineRule="exact"/>
        <w:ind w:firstLine="480"/>
        <w:jc w:val="left"/>
        <w:rPr>
          <w:rFonts w:ascii="黑体" w:hAnsi="黑体" w:eastAsia="黑体"/>
          <w:kern w:val="0"/>
          <w:sz w:val="32"/>
          <w:szCs w:val="32"/>
        </w:rPr>
      </w:pPr>
      <w:r>
        <w:rPr>
          <w:rFonts w:hint="eastAsia" w:ascii="仿宋_GB2312" w:hAnsi="宋体" w:eastAsia="仿宋_GB2312" w:cs="仿宋_GB2312"/>
          <w:kern w:val="0"/>
          <w:sz w:val="32"/>
          <w:szCs w:val="32"/>
        </w:rPr>
        <w:t>　</w:t>
      </w:r>
      <w:r>
        <w:rPr>
          <w:rFonts w:hint="eastAsia" w:ascii="黑体" w:hAnsi="黑体" w:eastAsia="黑体" w:cs="黑体"/>
          <w:kern w:val="0"/>
          <w:sz w:val="32"/>
          <w:szCs w:val="32"/>
        </w:rPr>
        <w:t>二、部门决算单位构成</w:t>
      </w:r>
    </w:p>
    <w:p>
      <w:pPr>
        <w:widowControl/>
        <w:spacing w:line="560" w:lineRule="exact"/>
        <w:jc w:val="left"/>
        <w:rPr>
          <w:rFonts w:ascii="仿宋_GB2312" w:hAnsi="宋体" w:eastAsia="仿宋_GB2312"/>
          <w:kern w:val="0"/>
          <w:sz w:val="32"/>
          <w:szCs w:val="32"/>
        </w:rPr>
      </w:pPr>
      <w:r>
        <w:rPr>
          <w:rFonts w:ascii="黑体" w:hAnsi="黑体" w:eastAsia="黑体" w:cs="黑体"/>
          <w:b/>
          <w:bCs/>
          <w:kern w:val="0"/>
          <w:sz w:val="32"/>
          <w:szCs w:val="32"/>
        </w:rPr>
        <w:t xml:space="preserve">  </w:t>
      </w:r>
      <w:r>
        <w:rPr>
          <w:rFonts w:ascii="仿宋_GB2312" w:hAnsi="仿宋" w:eastAsia="仿宋_GB2312" w:cs="仿宋_GB2312"/>
          <w:sz w:val="32"/>
          <w:szCs w:val="32"/>
        </w:rPr>
        <w:t>2016</w:t>
      </w:r>
      <w:r>
        <w:rPr>
          <w:rFonts w:hint="eastAsia" w:ascii="仿宋_GB2312" w:hAnsi="仿宋" w:eastAsia="仿宋_GB2312" w:cs="仿宋_GB2312"/>
          <w:sz w:val="32"/>
          <w:szCs w:val="32"/>
        </w:rPr>
        <w:t>年度，纳入本部门决算汇编范围的独立核算单位共</w:t>
      </w:r>
      <w:r>
        <w:rPr>
          <w:rFonts w:ascii="仿宋_GB2312" w:hAnsi="仿宋" w:eastAsia="仿宋_GB2312" w:cs="仿宋_GB2312"/>
          <w:sz w:val="32"/>
          <w:szCs w:val="32"/>
        </w:rPr>
        <w:t>1</w:t>
      </w:r>
      <w:r>
        <w:rPr>
          <w:rFonts w:hint="eastAsia" w:ascii="仿宋_GB2312" w:hAnsi="仿宋" w:eastAsia="仿宋_GB2312" w:cs="仿宋_GB2312"/>
          <w:sz w:val="32"/>
          <w:szCs w:val="32"/>
        </w:rPr>
        <w:t>个。</w:t>
      </w:r>
      <w:r>
        <w:rPr>
          <w:rFonts w:ascii="黑体" w:hAnsi="黑体" w:eastAsia="黑体" w:cs="黑体"/>
          <w:b/>
          <w:bCs/>
          <w:kern w:val="0"/>
          <w:sz w:val="32"/>
          <w:szCs w:val="32"/>
        </w:rPr>
        <w:t xml:space="preserve"> </w:t>
      </w:r>
    </w:p>
    <w:p>
      <w:pPr>
        <w:spacing w:before="100" w:beforeAutospacing="1" w:after="100" w:afterAutospacing="1" w:line="1000" w:lineRule="exact"/>
        <w:jc w:val="center"/>
        <w:outlineLvl w:val="1"/>
        <w:rPr>
          <w:rFonts w:ascii="黑体" w:hAnsi="宋体" w:eastAsia="黑体"/>
          <w:b/>
          <w:bCs/>
          <w:kern w:val="0"/>
          <w:sz w:val="72"/>
          <w:szCs w:val="72"/>
        </w:rPr>
      </w:pPr>
    </w:p>
    <w:p>
      <w:pPr>
        <w:spacing w:beforeLines="50" w:line="580" w:lineRule="exact"/>
        <w:ind w:firstLine="31680" w:firstLineChars="49"/>
        <w:jc w:val="center"/>
        <w:outlineLvl w:val="1"/>
        <w:rPr>
          <w:rFonts w:ascii="宋体"/>
          <w:b/>
          <w:bCs/>
          <w:color w:val="000000"/>
          <w:kern w:val="0"/>
          <w:sz w:val="44"/>
          <w:szCs w:val="44"/>
        </w:rPr>
      </w:pPr>
    </w:p>
    <w:p>
      <w:pPr>
        <w:spacing w:beforeLines="50" w:line="580" w:lineRule="exact"/>
        <w:ind w:firstLine="31680" w:firstLineChars="49"/>
        <w:jc w:val="center"/>
        <w:outlineLvl w:val="1"/>
        <w:rPr>
          <w:rFonts w:ascii="宋体"/>
          <w:b/>
          <w:bCs/>
          <w:color w:val="000000"/>
          <w:kern w:val="0"/>
          <w:sz w:val="44"/>
          <w:szCs w:val="44"/>
        </w:rPr>
        <w:sectPr>
          <w:pgSz w:w="11906" w:h="16838"/>
          <w:pgMar w:top="1440" w:right="1800" w:bottom="1440" w:left="1800" w:header="851" w:footer="992" w:gutter="0"/>
          <w:cols w:space="425" w:num="1"/>
          <w:docGrid w:type="lines" w:linePitch="312" w:charSpace="0"/>
        </w:sectPr>
      </w:pPr>
    </w:p>
    <w:p>
      <w:pPr>
        <w:spacing w:beforeLines="50" w:line="580" w:lineRule="exact"/>
        <w:ind w:firstLine="31680" w:firstLineChars="49"/>
        <w:jc w:val="center"/>
        <w:outlineLvl w:val="1"/>
        <w:rPr>
          <w:rFonts w:ascii="仿宋_GB2312" w:hAnsi="宋体" w:eastAsia="仿宋_GB2312"/>
          <w:b/>
          <w:bCs/>
          <w:kern w:val="0"/>
          <w:sz w:val="32"/>
          <w:szCs w:val="32"/>
        </w:rPr>
      </w:pPr>
      <w:r>
        <w:rPr>
          <w:rFonts w:hint="eastAsia" w:ascii="宋体" w:hAnsi="宋体" w:cs="宋体"/>
          <w:b/>
          <w:bCs/>
          <w:color w:val="000000"/>
          <w:kern w:val="0"/>
          <w:sz w:val="44"/>
          <w:szCs w:val="44"/>
        </w:rPr>
        <w:t>第二部分</w:t>
      </w:r>
      <w:r>
        <w:rPr>
          <w:rFonts w:ascii="宋体" w:hAnsi="宋体" w:cs="宋体"/>
          <w:b/>
          <w:bCs/>
          <w:color w:val="000000"/>
          <w:kern w:val="0"/>
          <w:sz w:val="44"/>
          <w:szCs w:val="44"/>
        </w:rPr>
        <w:t xml:space="preserve">  2016</w:t>
      </w:r>
      <w:r>
        <w:rPr>
          <w:rFonts w:hint="eastAsia" w:ascii="宋体" w:hAnsi="宋体" w:cs="宋体"/>
          <w:b/>
          <w:bCs/>
          <w:color w:val="000000"/>
          <w:kern w:val="0"/>
          <w:sz w:val="44"/>
          <w:szCs w:val="44"/>
        </w:rPr>
        <w:t>年度部门决算表</w:t>
      </w:r>
    </w:p>
    <w:p>
      <w:pPr>
        <w:jc w:val="center"/>
        <w:rPr>
          <w:rFonts w:ascii="宋体"/>
          <w:b/>
          <w:bCs/>
          <w:color w:val="000000"/>
          <w:kern w:val="0"/>
          <w:sz w:val="44"/>
          <w:szCs w:val="44"/>
        </w:rPr>
      </w:pPr>
      <w:r>
        <w:rPr>
          <w:rFonts w:hint="eastAsia" w:ascii="宋体" w:hAnsi="宋体" w:cs="宋体"/>
          <w:b/>
          <w:bCs/>
          <w:color w:val="000000"/>
          <w:kern w:val="0"/>
          <w:sz w:val="44"/>
          <w:szCs w:val="44"/>
        </w:rPr>
        <w:t>收入支出决算总表</w:t>
      </w:r>
    </w:p>
    <w:tbl>
      <w:tblPr>
        <w:tblStyle w:val="6"/>
        <w:tblW w:w="10700" w:type="dxa"/>
        <w:tblInd w:w="-106" w:type="dxa"/>
        <w:tblLayout w:type="fixed"/>
        <w:tblCellMar>
          <w:top w:w="0" w:type="dxa"/>
          <w:left w:w="108" w:type="dxa"/>
          <w:bottom w:w="0" w:type="dxa"/>
          <w:right w:w="108" w:type="dxa"/>
        </w:tblCellMar>
      </w:tblPr>
      <w:tblGrid>
        <w:gridCol w:w="3560"/>
        <w:gridCol w:w="580"/>
        <w:gridCol w:w="1420"/>
        <w:gridCol w:w="2980"/>
        <w:gridCol w:w="687"/>
        <w:gridCol w:w="1473"/>
      </w:tblGrid>
      <w:tr>
        <w:tblPrEx>
          <w:tblLayout w:type="fixed"/>
          <w:tblCellMar>
            <w:top w:w="0" w:type="dxa"/>
            <w:left w:w="108" w:type="dxa"/>
            <w:bottom w:w="0" w:type="dxa"/>
            <w:right w:w="108" w:type="dxa"/>
          </w:tblCellMar>
        </w:tblPrEx>
        <w:trPr>
          <w:trHeight w:val="285" w:hRule="atLeast"/>
        </w:trPr>
        <w:tc>
          <w:tcPr>
            <w:tcW w:w="3560" w:type="dxa"/>
            <w:tcBorders>
              <w:top w:val="nil"/>
              <w:left w:val="nil"/>
              <w:bottom w:val="nil"/>
              <w:right w:val="nil"/>
            </w:tcBorders>
            <w:vAlign w:val="bottom"/>
          </w:tcPr>
          <w:p>
            <w:pPr>
              <w:widowControl/>
              <w:jc w:val="left"/>
              <w:rPr>
                <w:rFonts w:ascii="宋体"/>
                <w:color w:val="000000"/>
                <w:kern w:val="0"/>
                <w:sz w:val="22"/>
                <w:szCs w:val="22"/>
              </w:rPr>
            </w:pPr>
          </w:p>
        </w:tc>
        <w:tc>
          <w:tcPr>
            <w:tcW w:w="580" w:type="dxa"/>
            <w:tcBorders>
              <w:top w:val="nil"/>
              <w:left w:val="nil"/>
              <w:bottom w:val="nil"/>
              <w:right w:val="nil"/>
            </w:tcBorders>
            <w:vAlign w:val="bottom"/>
          </w:tcPr>
          <w:p>
            <w:pPr>
              <w:widowControl/>
              <w:jc w:val="left"/>
              <w:rPr>
                <w:rFonts w:ascii="宋体"/>
                <w:color w:val="000000"/>
                <w:kern w:val="0"/>
                <w:sz w:val="22"/>
                <w:szCs w:val="22"/>
              </w:rPr>
            </w:pPr>
          </w:p>
        </w:tc>
        <w:tc>
          <w:tcPr>
            <w:tcW w:w="1420" w:type="dxa"/>
            <w:tcBorders>
              <w:top w:val="nil"/>
              <w:left w:val="nil"/>
              <w:bottom w:val="nil"/>
              <w:right w:val="nil"/>
            </w:tcBorders>
            <w:vAlign w:val="bottom"/>
          </w:tcPr>
          <w:p>
            <w:pPr>
              <w:widowControl/>
              <w:jc w:val="left"/>
              <w:rPr>
                <w:rFonts w:ascii="宋体"/>
                <w:color w:val="000000"/>
                <w:kern w:val="0"/>
                <w:sz w:val="22"/>
                <w:szCs w:val="22"/>
              </w:rPr>
            </w:pPr>
          </w:p>
        </w:tc>
        <w:tc>
          <w:tcPr>
            <w:tcW w:w="2980" w:type="dxa"/>
            <w:tcBorders>
              <w:top w:val="nil"/>
              <w:left w:val="nil"/>
              <w:bottom w:val="nil"/>
              <w:right w:val="nil"/>
            </w:tcBorders>
            <w:vAlign w:val="bottom"/>
          </w:tcPr>
          <w:p>
            <w:pPr>
              <w:widowControl/>
              <w:jc w:val="left"/>
              <w:rPr>
                <w:rFonts w:ascii="宋体"/>
                <w:color w:val="000000"/>
                <w:kern w:val="0"/>
                <w:sz w:val="22"/>
                <w:szCs w:val="22"/>
              </w:rPr>
            </w:pPr>
          </w:p>
        </w:tc>
        <w:tc>
          <w:tcPr>
            <w:tcW w:w="2160" w:type="dxa"/>
            <w:gridSpan w:val="2"/>
            <w:tcBorders>
              <w:top w:val="nil"/>
              <w:left w:val="nil"/>
              <w:bottom w:val="nil"/>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01</w:t>
            </w:r>
            <w:r>
              <w:rPr>
                <w:rFonts w:hint="eastAsia" w:ascii="宋体" w:hAnsi="宋体" w:cs="宋体"/>
                <w:color w:val="000000"/>
                <w:kern w:val="0"/>
                <w:sz w:val="22"/>
                <w:szCs w:val="22"/>
              </w:rPr>
              <w:t>表</w:t>
            </w:r>
          </w:p>
        </w:tc>
      </w:tr>
      <w:tr>
        <w:tblPrEx>
          <w:tblLayout w:type="fixed"/>
          <w:tblCellMar>
            <w:top w:w="0" w:type="dxa"/>
            <w:left w:w="108" w:type="dxa"/>
            <w:bottom w:w="0" w:type="dxa"/>
            <w:right w:w="108" w:type="dxa"/>
          </w:tblCellMar>
        </w:tblPrEx>
        <w:trPr>
          <w:trHeight w:val="285" w:hRule="atLeast"/>
        </w:trPr>
        <w:tc>
          <w:tcPr>
            <w:tcW w:w="4140" w:type="dxa"/>
            <w:gridSpan w:val="2"/>
            <w:tcBorders>
              <w:top w:val="nil"/>
              <w:left w:val="nil"/>
              <w:bottom w:val="single" w:color="auto" w:sz="4" w:space="0"/>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公开部门：宁夏回族自治区人民医院</w:t>
            </w:r>
          </w:p>
        </w:tc>
        <w:tc>
          <w:tcPr>
            <w:tcW w:w="1420" w:type="dxa"/>
            <w:tcBorders>
              <w:top w:val="nil"/>
              <w:left w:val="nil"/>
              <w:bottom w:val="nil"/>
              <w:right w:val="nil"/>
            </w:tcBorders>
            <w:vAlign w:val="bottom"/>
          </w:tcPr>
          <w:p>
            <w:pPr>
              <w:widowControl/>
              <w:jc w:val="left"/>
              <w:rPr>
                <w:rFonts w:ascii="宋体"/>
                <w:color w:val="000000"/>
                <w:kern w:val="0"/>
                <w:sz w:val="22"/>
                <w:szCs w:val="22"/>
              </w:rPr>
            </w:pPr>
          </w:p>
        </w:tc>
        <w:tc>
          <w:tcPr>
            <w:tcW w:w="2980" w:type="dxa"/>
            <w:tcBorders>
              <w:top w:val="nil"/>
              <w:left w:val="nil"/>
              <w:bottom w:val="nil"/>
              <w:right w:val="nil"/>
            </w:tcBorders>
            <w:vAlign w:val="bottom"/>
          </w:tcPr>
          <w:p>
            <w:pPr>
              <w:widowControl/>
              <w:jc w:val="left"/>
              <w:rPr>
                <w:rFonts w:ascii="宋体"/>
                <w:color w:val="000000"/>
                <w:kern w:val="0"/>
                <w:sz w:val="22"/>
                <w:szCs w:val="22"/>
              </w:rPr>
            </w:pPr>
          </w:p>
        </w:tc>
        <w:tc>
          <w:tcPr>
            <w:tcW w:w="2160" w:type="dxa"/>
            <w:gridSpan w:val="2"/>
            <w:tcBorders>
              <w:top w:val="nil"/>
              <w:left w:val="nil"/>
              <w:bottom w:val="single" w:color="auto" w:sz="4" w:space="0"/>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金额单位：万元</w:t>
            </w:r>
          </w:p>
        </w:tc>
      </w:tr>
      <w:tr>
        <w:tblPrEx>
          <w:tblLayout w:type="fixed"/>
          <w:tblCellMar>
            <w:top w:w="0" w:type="dxa"/>
            <w:left w:w="108" w:type="dxa"/>
            <w:bottom w:w="0" w:type="dxa"/>
            <w:right w:w="108" w:type="dxa"/>
          </w:tblCellMar>
        </w:tblPrEx>
        <w:trPr>
          <w:trHeight w:val="308" w:hRule="atLeast"/>
        </w:trPr>
        <w:tc>
          <w:tcPr>
            <w:tcW w:w="556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收入</w:t>
            </w:r>
          </w:p>
        </w:tc>
        <w:tc>
          <w:tcPr>
            <w:tcW w:w="5140" w:type="dxa"/>
            <w:gridSpan w:val="3"/>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支出</w:t>
            </w:r>
          </w:p>
        </w:tc>
      </w:tr>
      <w:tr>
        <w:tblPrEx>
          <w:tblLayout w:type="fixed"/>
          <w:tblCellMar>
            <w:top w:w="0" w:type="dxa"/>
            <w:left w:w="108" w:type="dxa"/>
            <w:bottom w:w="0" w:type="dxa"/>
            <w:right w:w="108" w:type="dxa"/>
          </w:tblCellMar>
        </w:tblPrEx>
        <w:trPr>
          <w:trHeight w:val="300" w:hRule="atLeast"/>
        </w:trPr>
        <w:tc>
          <w:tcPr>
            <w:tcW w:w="3560"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行次</w:t>
            </w:r>
          </w:p>
        </w:tc>
        <w:tc>
          <w:tcPr>
            <w:tcW w:w="14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决算数</w:t>
            </w:r>
          </w:p>
        </w:tc>
        <w:tc>
          <w:tcPr>
            <w:tcW w:w="29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r>
              <w:rPr>
                <w:rFonts w:ascii="宋体" w:hAnsi="宋体" w:cs="宋体"/>
                <w:color w:val="000000"/>
                <w:kern w:val="0"/>
                <w:sz w:val="22"/>
                <w:szCs w:val="22"/>
              </w:rPr>
              <w:t>(</w:t>
            </w:r>
            <w:r>
              <w:rPr>
                <w:rFonts w:hint="eastAsia" w:ascii="宋体" w:hAnsi="宋体" w:cs="宋体"/>
                <w:color w:val="000000"/>
                <w:kern w:val="0"/>
                <w:sz w:val="22"/>
                <w:szCs w:val="22"/>
              </w:rPr>
              <w:t>按功能分类</w:t>
            </w:r>
            <w:r>
              <w:rPr>
                <w:rFonts w:ascii="宋体" w:hAnsi="宋体" w:cs="宋体"/>
                <w:color w:val="000000"/>
                <w:kern w:val="0"/>
                <w:sz w:val="22"/>
                <w:szCs w:val="22"/>
              </w:rPr>
              <w:t>)</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行次</w:t>
            </w:r>
          </w:p>
        </w:tc>
        <w:tc>
          <w:tcPr>
            <w:tcW w:w="1473"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决算数</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29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　</w:t>
            </w:r>
          </w:p>
        </w:tc>
        <w:tc>
          <w:tcPr>
            <w:tcW w:w="1473"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一、财政拨款收入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14719.37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一、一般公共服务支出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28</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其中：政府性基金预算财政拨款</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二、外交支出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29</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二、上级补助收入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三、国防支出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30</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三、事业收入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168008.95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四、公共安全支出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31</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四、经营收入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五、教育支出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32</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五、附属单位上缴收入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6</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六、科学技术支出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33</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六、其他收入</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7</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2760.39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七、文化体育与传媒支出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34</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8</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八、社会保障和就业支出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35</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9</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九、医疗卫生与计划生育支出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36</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180500.95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10</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十、节能环保支出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37</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11</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十一、城乡社区支出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38</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12</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十二、农林水支出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39</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13</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十三、交通运输支出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40</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14</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十四、资源勘探信息等支出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41</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15</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十五、商业服务业等支出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42</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16</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十六、金融支出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43</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17</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十七、援助其他地区支出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44</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18</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十八、国土海洋气象等支出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45</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19</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十九、住房保障支出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46</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20</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二十、粮油物资储备支出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47</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21</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二十一、其他支出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48</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22</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二十二、债务还本支出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49</w:t>
            </w:r>
          </w:p>
        </w:tc>
        <w:tc>
          <w:tcPr>
            <w:tcW w:w="1473"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23</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二十三、债务付息支出</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50</w:t>
            </w:r>
          </w:p>
        </w:tc>
        <w:tc>
          <w:tcPr>
            <w:tcW w:w="1473"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本年收入合计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24</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185488.71 </w:t>
            </w:r>
          </w:p>
        </w:tc>
        <w:tc>
          <w:tcPr>
            <w:tcW w:w="2980" w:type="dxa"/>
            <w:tcBorders>
              <w:top w:val="nil"/>
              <w:left w:val="nil"/>
              <w:bottom w:val="single" w:color="auto" w:sz="4" w:space="0"/>
              <w:right w:val="single" w:color="auto" w:sz="4" w:space="0"/>
            </w:tcBorders>
            <w:vAlign w:val="center"/>
          </w:tcPr>
          <w:p>
            <w:pPr>
              <w:widowControl/>
              <w:jc w:val="left"/>
              <w:rPr>
                <w:rFonts w:ascii="宋体"/>
                <w:b/>
                <w:bCs/>
                <w:color w:val="000000"/>
                <w:kern w:val="0"/>
                <w:sz w:val="22"/>
                <w:szCs w:val="22"/>
              </w:rPr>
            </w:pPr>
            <w:r>
              <w:rPr>
                <w:rFonts w:hint="eastAsia" w:ascii="宋体" w:hAnsi="宋体" w:cs="宋体"/>
                <w:b/>
                <w:bCs/>
                <w:color w:val="000000"/>
                <w:kern w:val="0"/>
                <w:sz w:val="22"/>
                <w:szCs w:val="22"/>
              </w:rPr>
              <w:t>本年支出合计</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51</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184778.47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用事业基金弥补收支差额</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25</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52</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1990.34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26</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13411.07 </w:t>
            </w:r>
          </w:p>
        </w:tc>
        <w:tc>
          <w:tcPr>
            <w:tcW w:w="29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53</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12130.97 </w:t>
            </w:r>
          </w:p>
        </w:tc>
      </w:tr>
      <w:tr>
        <w:tblPrEx>
          <w:tblLayout w:type="fixed"/>
          <w:tblCellMar>
            <w:top w:w="0" w:type="dxa"/>
            <w:left w:w="108" w:type="dxa"/>
            <w:bottom w:w="0" w:type="dxa"/>
            <w:right w:w="108" w:type="dxa"/>
          </w:tblCellMar>
        </w:tblPrEx>
        <w:trPr>
          <w:trHeight w:val="270" w:hRule="atLeast"/>
        </w:trPr>
        <w:tc>
          <w:tcPr>
            <w:tcW w:w="3560" w:type="dxa"/>
            <w:tcBorders>
              <w:top w:val="nil"/>
              <w:left w:val="single" w:color="auto" w:sz="4" w:space="0"/>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总计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27</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198899.78 </w:t>
            </w:r>
          </w:p>
        </w:tc>
        <w:tc>
          <w:tcPr>
            <w:tcW w:w="298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总计</w:t>
            </w:r>
          </w:p>
        </w:tc>
        <w:tc>
          <w:tcPr>
            <w:tcW w:w="687"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54</w:t>
            </w:r>
          </w:p>
        </w:tc>
        <w:tc>
          <w:tcPr>
            <w:tcW w:w="1473"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198899.78 </w:t>
            </w:r>
          </w:p>
        </w:tc>
      </w:tr>
      <w:tr>
        <w:tblPrEx>
          <w:tblLayout w:type="fixed"/>
          <w:tblCellMar>
            <w:top w:w="0" w:type="dxa"/>
            <w:left w:w="108" w:type="dxa"/>
            <w:bottom w:w="0" w:type="dxa"/>
            <w:right w:w="108" w:type="dxa"/>
          </w:tblCellMar>
        </w:tblPrEx>
        <w:trPr>
          <w:trHeight w:val="480" w:hRule="atLeast"/>
        </w:trPr>
        <w:tc>
          <w:tcPr>
            <w:tcW w:w="10700" w:type="dxa"/>
            <w:gridSpan w:val="6"/>
            <w:tcBorders>
              <w:top w:val="single" w:color="auto" w:sz="4" w:space="0"/>
              <w:left w:val="nil"/>
              <w:bottom w:val="nil"/>
              <w:right w:val="nil"/>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注：本表反映部门本年度的总收支和年末结余结转情况，数据取自财决</w:t>
            </w:r>
            <w:r>
              <w:rPr>
                <w:rFonts w:ascii="宋体" w:hAnsi="宋体" w:cs="宋体"/>
                <w:color w:val="000000"/>
                <w:kern w:val="0"/>
                <w:sz w:val="22"/>
                <w:szCs w:val="22"/>
              </w:rPr>
              <w:t>01</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r>
        <w:rPr>
          <w:rFonts w:hint="eastAsia" w:ascii="宋体" w:hAnsi="宋体" w:cs="宋体"/>
          <w:b/>
          <w:bCs/>
          <w:color w:val="000000"/>
          <w:kern w:val="0"/>
          <w:sz w:val="44"/>
          <w:szCs w:val="44"/>
        </w:rPr>
        <w:t>收入决算表</w:t>
      </w:r>
    </w:p>
    <w:tbl>
      <w:tblPr>
        <w:tblStyle w:val="6"/>
        <w:tblW w:w="14168" w:type="dxa"/>
        <w:tblInd w:w="-106" w:type="dxa"/>
        <w:tblLayout w:type="fixed"/>
        <w:tblCellMar>
          <w:top w:w="0" w:type="dxa"/>
          <w:left w:w="108" w:type="dxa"/>
          <w:bottom w:w="0" w:type="dxa"/>
          <w:right w:w="108" w:type="dxa"/>
        </w:tblCellMar>
      </w:tblPr>
      <w:tblGrid>
        <w:gridCol w:w="436"/>
        <w:gridCol w:w="436"/>
        <w:gridCol w:w="436"/>
        <w:gridCol w:w="3780"/>
        <w:gridCol w:w="1520"/>
        <w:gridCol w:w="1480"/>
        <w:gridCol w:w="1520"/>
        <w:gridCol w:w="1240"/>
        <w:gridCol w:w="1120"/>
        <w:gridCol w:w="1120"/>
        <w:gridCol w:w="1080"/>
      </w:tblGrid>
      <w:tr>
        <w:tblPrEx>
          <w:tblLayout w:type="fixed"/>
          <w:tblCellMar>
            <w:top w:w="0" w:type="dxa"/>
            <w:left w:w="108" w:type="dxa"/>
            <w:bottom w:w="0" w:type="dxa"/>
            <w:right w:w="108" w:type="dxa"/>
          </w:tblCellMar>
        </w:tblPrEx>
        <w:trPr>
          <w:trHeight w:val="270" w:hRule="atLeast"/>
        </w:trPr>
        <w:tc>
          <w:tcPr>
            <w:tcW w:w="436" w:type="dxa"/>
            <w:tcBorders>
              <w:top w:val="nil"/>
              <w:left w:val="nil"/>
              <w:bottom w:val="nil"/>
              <w:right w:val="nil"/>
            </w:tcBorders>
            <w:vAlign w:val="bottom"/>
          </w:tcPr>
          <w:p>
            <w:pPr>
              <w:widowControl/>
              <w:jc w:val="left"/>
              <w:rPr>
                <w:rFonts w:ascii="宋体"/>
                <w:color w:val="000000"/>
                <w:kern w:val="0"/>
                <w:sz w:val="22"/>
                <w:szCs w:val="22"/>
              </w:rPr>
            </w:pPr>
          </w:p>
        </w:tc>
        <w:tc>
          <w:tcPr>
            <w:tcW w:w="436" w:type="dxa"/>
            <w:tcBorders>
              <w:top w:val="nil"/>
              <w:left w:val="nil"/>
              <w:bottom w:val="nil"/>
              <w:right w:val="nil"/>
            </w:tcBorders>
            <w:vAlign w:val="bottom"/>
          </w:tcPr>
          <w:p>
            <w:pPr>
              <w:widowControl/>
              <w:jc w:val="left"/>
              <w:rPr>
                <w:rFonts w:ascii="宋体"/>
                <w:color w:val="000000"/>
                <w:kern w:val="0"/>
                <w:sz w:val="22"/>
                <w:szCs w:val="22"/>
              </w:rPr>
            </w:pPr>
          </w:p>
        </w:tc>
        <w:tc>
          <w:tcPr>
            <w:tcW w:w="436" w:type="dxa"/>
            <w:tcBorders>
              <w:top w:val="nil"/>
              <w:left w:val="nil"/>
              <w:bottom w:val="nil"/>
              <w:right w:val="nil"/>
            </w:tcBorders>
            <w:vAlign w:val="bottom"/>
          </w:tcPr>
          <w:p>
            <w:pPr>
              <w:widowControl/>
              <w:jc w:val="left"/>
              <w:rPr>
                <w:rFonts w:ascii="宋体"/>
                <w:color w:val="000000"/>
                <w:kern w:val="0"/>
                <w:sz w:val="22"/>
                <w:szCs w:val="22"/>
              </w:rPr>
            </w:pPr>
          </w:p>
        </w:tc>
        <w:tc>
          <w:tcPr>
            <w:tcW w:w="3780" w:type="dxa"/>
            <w:tcBorders>
              <w:top w:val="nil"/>
              <w:left w:val="nil"/>
              <w:bottom w:val="nil"/>
              <w:right w:val="nil"/>
            </w:tcBorders>
            <w:vAlign w:val="bottom"/>
          </w:tcPr>
          <w:p>
            <w:pPr>
              <w:widowControl/>
              <w:jc w:val="left"/>
              <w:rPr>
                <w:rFonts w:ascii="宋体"/>
                <w:color w:val="000000"/>
                <w:kern w:val="0"/>
                <w:sz w:val="22"/>
                <w:szCs w:val="22"/>
              </w:rPr>
            </w:pPr>
          </w:p>
        </w:tc>
        <w:tc>
          <w:tcPr>
            <w:tcW w:w="1520" w:type="dxa"/>
            <w:tcBorders>
              <w:top w:val="nil"/>
              <w:left w:val="nil"/>
              <w:bottom w:val="nil"/>
              <w:right w:val="nil"/>
            </w:tcBorders>
            <w:vAlign w:val="bottom"/>
          </w:tcPr>
          <w:p>
            <w:pPr>
              <w:widowControl/>
              <w:jc w:val="left"/>
              <w:rPr>
                <w:rFonts w:ascii="宋体"/>
                <w:color w:val="000000"/>
                <w:kern w:val="0"/>
                <w:sz w:val="22"/>
                <w:szCs w:val="22"/>
              </w:rPr>
            </w:pPr>
          </w:p>
        </w:tc>
        <w:tc>
          <w:tcPr>
            <w:tcW w:w="1480" w:type="dxa"/>
            <w:tcBorders>
              <w:top w:val="nil"/>
              <w:left w:val="nil"/>
              <w:bottom w:val="nil"/>
              <w:right w:val="nil"/>
            </w:tcBorders>
            <w:vAlign w:val="bottom"/>
          </w:tcPr>
          <w:p>
            <w:pPr>
              <w:widowControl/>
              <w:jc w:val="left"/>
              <w:rPr>
                <w:rFonts w:ascii="宋体"/>
                <w:color w:val="000000"/>
                <w:kern w:val="0"/>
                <w:sz w:val="22"/>
                <w:szCs w:val="22"/>
              </w:rPr>
            </w:pPr>
          </w:p>
        </w:tc>
        <w:tc>
          <w:tcPr>
            <w:tcW w:w="1520" w:type="dxa"/>
            <w:tcBorders>
              <w:top w:val="nil"/>
              <w:left w:val="nil"/>
              <w:bottom w:val="nil"/>
              <w:right w:val="nil"/>
            </w:tcBorders>
            <w:vAlign w:val="bottom"/>
          </w:tcPr>
          <w:p>
            <w:pPr>
              <w:widowControl/>
              <w:jc w:val="left"/>
              <w:rPr>
                <w:rFonts w:ascii="宋体"/>
                <w:color w:val="000000"/>
                <w:kern w:val="0"/>
                <w:sz w:val="22"/>
                <w:szCs w:val="22"/>
              </w:rPr>
            </w:pPr>
          </w:p>
        </w:tc>
        <w:tc>
          <w:tcPr>
            <w:tcW w:w="1240" w:type="dxa"/>
            <w:tcBorders>
              <w:top w:val="nil"/>
              <w:left w:val="nil"/>
              <w:bottom w:val="nil"/>
              <w:right w:val="nil"/>
            </w:tcBorders>
            <w:vAlign w:val="bottom"/>
          </w:tcPr>
          <w:p>
            <w:pPr>
              <w:widowControl/>
              <w:jc w:val="left"/>
              <w:rPr>
                <w:rFonts w:ascii="宋体"/>
                <w:color w:val="000000"/>
                <w:kern w:val="0"/>
                <w:sz w:val="22"/>
                <w:szCs w:val="22"/>
              </w:rPr>
            </w:pPr>
          </w:p>
        </w:tc>
        <w:tc>
          <w:tcPr>
            <w:tcW w:w="1120" w:type="dxa"/>
            <w:tcBorders>
              <w:top w:val="nil"/>
              <w:left w:val="nil"/>
              <w:bottom w:val="nil"/>
              <w:right w:val="nil"/>
            </w:tcBorders>
            <w:vAlign w:val="bottom"/>
          </w:tcPr>
          <w:p>
            <w:pPr>
              <w:widowControl/>
              <w:jc w:val="left"/>
              <w:rPr>
                <w:rFonts w:ascii="宋体"/>
                <w:color w:val="000000"/>
                <w:kern w:val="0"/>
                <w:sz w:val="22"/>
                <w:szCs w:val="22"/>
              </w:rPr>
            </w:pPr>
          </w:p>
        </w:tc>
        <w:tc>
          <w:tcPr>
            <w:tcW w:w="2200" w:type="dxa"/>
            <w:gridSpan w:val="2"/>
            <w:tcBorders>
              <w:top w:val="nil"/>
              <w:left w:val="nil"/>
              <w:bottom w:val="nil"/>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02</w:t>
            </w:r>
            <w:r>
              <w:rPr>
                <w:rFonts w:hint="eastAsia" w:ascii="宋体" w:hAnsi="宋体" w:cs="宋体"/>
                <w:color w:val="000000"/>
                <w:kern w:val="0"/>
                <w:sz w:val="22"/>
                <w:szCs w:val="22"/>
              </w:rPr>
              <w:t>表</w:t>
            </w:r>
          </w:p>
        </w:tc>
      </w:tr>
      <w:tr>
        <w:tblPrEx>
          <w:tblLayout w:type="fixed"/>
          <w:tblCellMar>
            <w:top w:w="0" w:type="dxa"/>
            <w:left w:w="108" w:type="dxa"/>
            <w:bottom w:w="0" w:type="dxa"/>
            <w:right w:w="108" w:type="dxa"/>
          </w:tblCellMar>
        </w:tblPrEx>
        <w:trPr>
          <w:trHeight w:val="270" w:hRule="atLeast"/>
        </w:trPr>
        <w:tc>
          <w:tcPr>
            <w:tcW w:w="5088" w:type="dxa"/>
            <w:gridSpan w:val="4"/>
            <w:tcBorders>
              <w:top w:val="nil"/>
              <w:left w:val="nil"/>
              <w:bottom w:val="single" w:color="auto" w:sz="4" w:space="0"/>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公开部门：宁夏回族自治区人民医院</w:t>
            </w:r>
          </w:p>
        </w:tc>
        <w:tc>
          <w:tcPr>
            <w:tcW w:w="1520" w:type="dxa"/>
            <w:tcBorders>
              <w:top w:val="nil"/>
              <w:left w:val="nil"/>
              <w:bottom w:val="nil"/>
              <w:right w:val="nil"/>
            </w:tcBorders>
            <w:vAlign w:val="bottom"/>
          </w:tcPr>
          <w:p>
            <w:pPr>
              <w:widowControl/>
              <w:jc w:val="left"/>
              <w:rPr>
                <w:rFonts w:ascii="宋体"/>
                <w:color w:val="000000"/>
                <w:kern w:val="0"/>
                <w:sz w:val="22"/>
                <w:szCs w:val="22"/>
              </w:rPr>
            </w:pPr>
          </w:p>
        </w:tc>
        <w:tc>
          <w:tcPr>
            <w:tcW w:w="1480" w:type="dxa"/>
            <w:tcBorders>
              <w:top w:val="nil"/>
              <w:left w:val="nil"/>
              <w:bottom w:val="nil"/>
              <w:right w:val="nil"/>
            </w:tcBorders>
            <w:vAlign w:val="bottom"/>
          </w:tcPr>
          <w:p>
            <w:pPr>
              <w:widowControl/>
              <w:jc w:val="left"/>
              <w:rPr>
                <w:rFonts w:ascii="宋体"/>
                <w:color w:val="000000"/>
                <w:kern w:val="0"/>
                <w:sz w:val="22"/>
                <w:szCs w:val="22"/>
              </w:rPr>
            </w:pPr>
          </w:p>
        </w:tc>
        <w:tc>
          <w:tcPr>
            <w:tcW w:w="1520" w:type="dxa"/>
            <w:tcBorders>
              <w:top w:val="nil"/>
              <w:left w:val="nil"/>
              <w:bottom w:val="nil"/>
              <w:right w:val="nil"/>
            </w:tcBorders>
            <w:vAlign w:val="bottom"/>
          </w:tcPr>
          <w:p>
            <w:pPr>
              <w:widowControl/>
              <w:jc w:val="center"/>
              <w:rPr>
                <w:rFonts w:ascii="宋体"/>
                <w:color w:val="000000"/>
                <w:kern w:val="0"/>
                <w:sz w:val="22"/>
                <w:szCs w:val="22"/>
              </w:rPr>
            </w:pPr>
          </w:p>
        </w:tc>
        <w:tc>
          <w:tcPr>
            <w:tcW w:w="1240" w:type="dxa"/>
            <w:tcBorders>
              <w:top w:val="nil"/>
              <w:left w:val="nil"/>
              <w:bottom w:val="nil"/>
              <w:right w:val="nil"/>
            </w:tcBorders>
            <w:vAlign w:val="bottom"/>
          </w:tcPr>
          <w:p>
            <w:pPr>
              <w:widowControl/>
              <w:jc w:val="left"/>
              <w:rPr>
                <w:rFonts w:ascii="宋体"/>
                <w:color w:val="000000"/>
                <w:kern w:val="0"/>
                <w:sz w:val="22"/>
                <w:szCs w:val="22"/>
              </w:rPr>
            </w:pPr>
          </w:p>
        </w:tc>
        <w:tc>
          <w:tcPr>
            <w:tcW w:w="1120" w:type="dxa"/>
            <w:tcBorders>
              <w:top w:val="nil"/>
              <w:left w:val="nil"/>
              <w:bottom w:val="nil"/>
              <w:right w:val="nil"/>
            </w:tcBorders>
            <w:vAlign w:val="bottom"/>
          </w:tcPr>
          <w:p>
            <w:pPr>
              <w:widowControl/>
              <w:jc w:val="left"/>
              <w:rPr>
                <w:rFonts w:ascii="宋体"/>
                <w:color w:val="000000"/>
                <w:kern w:val="0"/>
                <w:sz w:val="22"/>
                <w:szCs w:val="22"/>
              </w:rPr>
            </w:pPr>
          </w:p>
        </w:tc>
        <w:tc>
          <w:tcPr>
            <w:tcW w:w="2200" w:type="dxa"/>
            <w:gridSpan w:val="2"/>
            <w:tcBorders>
              <w:top w:val="nil"/>
              <w:left w:val="nil"/>
              <w:bottom w:val="single" w:color="auto" w:sz="4" w:space="0"/>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金额单位：万元</w:t>
            </w:r>
          </w:p>
        </w:tc>
      </w:tr>
      <w:tr>
        <w:tblPrEx>
          <w:tblLayout w:type="fixed"/>
          <w:tblCellMar>
            <w:top w:w="0" w:type="dxa"/>
            <w:left w:w="108" w:type="dxa"/>
            <w:bottom w:w="0" w:type="dxa"/>
            <w:right w:w="108" w:type="dxa"/>
          </w:tblCellMar>
        </w:tblPrEx>
        <w:trPr>
          <w:trHeight w:val="308" w:hRule="atLeast"/>
        </w:trPr>
        <w:tc>
          <w:tcPr>
            <w:tcW w:w="5088"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15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本年收入合计</w:t>
            </w:r>
          </w:p>
        </w:tc>
        <w:tc>
          <w:tcPr>
            <w:tcW w:w="14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财政拨款收入</w:t>
            </w:r>
          </w:p>
        </w:tc>
        <w:tc>
          <w:tcPr>
            <w:tcW w:w="15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上级补助收入</w:t>
            </w:r>
          </w:p>
        </w:tc>
        <w:tc>
          <w:tcPr>
            <w:tcW w:w="12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事业收入</w:t>
            </w:r>
          </w:p>
        </w:tc>
        <w:tc>
          <w:tcPr>
            <w:tcW w:w="11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经营收入</w:t>
            </w:r>
          </w:p>
        </w:tc>
        <w:tc>
          <w:tcPr>
            <w:tcW w:w="11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附属单位上缴收入</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其他收入</w:t>
            </w:r>
          </w:p>
        </w:tc>
      </w:tr>
      <w:tr>
        <w:tblPrEx>
          <w:tblLayout w:type="fixed"/>
          <w:tblCellMar>
            <w:top w:w="0" w:type="dxa"/>
            <w:left w:w="108" w:type="dxa"/>
            <w:bottom w:w="0" w:type="dxa"/>
            <w:right w:w="108" w:type="dxa"/>
          </w:tblCellMar>
        </w:tblPrEx>
        <w:trPr>
          <w:trHeight w:val="312" w:hRule="atLeast"/>
        </w:trPr>
        <w:tc>
          <w:tcPr>
            <w:tcW w:w="130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功能分类科目编码</w:t>
            </w:r>
          </w:p>
        </w:tc>
        <w:tc>
          <w:tcPr>
            <w:tcW w:w="3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科目名称</w:t>
            </w: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1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类</w:t>
            </w:r>
          </w:p>
        </w:tc>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款</w:t>
            </w:r>
          </w:p>
        </w:tc>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w:t>
            </w:r>
          </w:p>
        </w:tc>
        <w:tc>
          <w:tcPr>
            <w:tcW w:w="37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15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14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5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2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c>
          <w:tcPr>
            <w:tcW w:w="11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w:t>
            </w:r>
          </w:p>
        </w:tc>
        <w:tc>
          <w:tcPr>
            <w:tcW w:w="11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6</w:t>
            </w:r>
          </w:p>
        </w:tc>
        <w:tc>
          <w:tcPr>
            <w:tcW w:w="10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7</w:t>
            </w:r>
          </w:p>
        </w:tc>
      </w:tr>
      <w:tr>
        <w:tblPrEx>
          <w:tblLayout w:type="fixed"/>
          <w:tblCellMar>
            <w:top w:w="0" w:type="dxa"/>
            <w:left w:w="108" w:type="dxa"/>
            <w:bottom w:w="0" w:type="dxa"/>
            <w:right w:w="108" w:type="dxa"/>
          </w:tblCellMar>
        </w:tblPrEx>
        <w:trPr>
          <w:trHeight w:val="308" w:hRule="atLeast"/>
        </w:trPr>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185488.71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14719.37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168008.95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2760.39</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一般公共服务支出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20110</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人力资源事务</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2011008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引进人才费用</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107.20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科学技术支出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291.00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291.00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基础研究</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80.00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80.00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2060203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自然科学基金</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80.00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80.00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科技条件与服务</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2060503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科技条件专项</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其他科学技术支出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191.00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191.00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2069999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其他科学技术支出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191.00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191.00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社会保障和就业支出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行政事业单位离退休</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机关事业单位职业年金缴费支出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其他行政事业单位离退休支出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医疗卫生与计划生育支出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181327.99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10558.64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168008.95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2760.39</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公立医院</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180824.63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10055.28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168008.95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2760.39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综合医院</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179035.83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8266.48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168008.95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2760.39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其他公立医院支出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1788.80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1788.80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21004</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公共卫生</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101.20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101.20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2100409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重大公共卫生专项</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101.20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101.20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医疗保障</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2100502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事业单位医疗</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中医药</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2100601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中医（民族医）药专项</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农林水支出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21307</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农村综合改革</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2130799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其他农村综合改革支出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10.00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住房保障支出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住房改革支出</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购房补贴</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292.03 </w:t>
            </w:r>
          </w:p>
        </w:tc>
        <w:tc>
          <w:tcPr>
            <w:tcW w:w="14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292.03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1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0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435" w:hRule="atLeast"/>
        </w:trPr>
        <w:tc>
          <w:tcPr>
            <w:tcW w:w="14168" w:type="dxa"/>
            <w:gridSpan w:val="11"/>
            <w:tcBorders>
              <w:top w:val="nil"/>
              <w:left w:val="nil"/>
              <w:bottom w:val="nil"/>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注：本表反映部门本年度取得的各项收入情况，数据取自财决</w:t>
            </w:r>
            <w:r>
              <w:rPr>
                <w:rFonts w:ascii="宋体" w:hAnsi="宋体" w:cs="宋体"/>
                <w:color w:val="000000"/>
                <w:kern w:val="0"/>
                <w:sz w:val="22"/>
                <w:szCs w:val="22"/>
              </w:rPr>
              <w:t>03</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r>
        <w:rPr>
          <w:rFonts w:hint="eastAsia" w:ascii="宋体" w:hAnsi="宋体" w:cs="宋体"/>
          <w:b/>
          <w:bCs/>
          <w:color w:val="000000"/>
          <w:kern w:val="0"/>
          <w:sz w:val="44"/>
          <w:szCs w:val="44"/>
        </w:rPr>
        <w:t>支出决算表</w:t>
      </w:r>
    </w:p>
    <w:tbl>
      <w:tblPr>
        <w:tblStyle w:val="6"/>
        <w:tblW w:w="13748" w:type="dxa"/>
        <w:tblInd w:w="-106" w:type="dxa"/>
        <w:tblLayout w:type="fixed"/>
        <w:tblCellMar>
          <w:top w:w="0" w:type="dxa"/>
          <w:left w:w="108" w:type="dxa"/>
          <w:bottom w:w="0" w:type="dxa"/>
          <w:right w:w="108" w:type="dxa"/>
        </w:tblCellMar>
      </w:tblPr>
      <w:tblGrid>
        <w:gridCol w:w="436"/>
        <w:gridCol w:w="436"/>
        <w:gridCol w:w="436"/>
        <w:gridCol w:w="3780"/>
        <w:gridCol w:w="1720"/>
        <w:gridCol w:w="1380"/>
        <w:gridCol w:w="1420"/>
        <w:gridCol w:w="1580"/>
        <w:gridCol w:w="1240"/>
        <w:gridCol w:w="1320"/>
      </w:tblGrid>
      <w:tr>
        <w:tblPrEx>
          <w:tblLayout w:type="fixed"/>
          <w:tblCellMar>
            <w:top w:w="0" w:type="dxa"/>
            <w:left w:w="108" w:type="dxa"/>
            <w:bottom w:w="0" w:type="dxa"/>
            <w:right w:w="108" w:type="dxa"/>
          </w:tblCellMar>
        </w:tblPrEx>
        <w:trPr>
          <w:trHeight w:val="300" w:hRule="atLeast"/>
        </w:trPr>
        <w:tc>
          <w:tcPr>
            <w:tcW w:w="436"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436"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436"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37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72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3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5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2560" w:type="dxa"/>
            <w:gridSpan w:val="2"/>
            <w:tcBorders>
              <w:top w:val="nil"/>
              <w:left w:val="nil"/>
              <w:bottom w:val="nil"/>
              <w:right w:val="nil"/>
            </w:tcBorders>
            <w:vAlign w:val="bottom"/>
          </w:tcPr>
          <w:p>
            <w:pPr>
              <w:widowControl/>
              <w:jc w:val="right"/>
              <w:rPr>
                <w:rFonts w:ascii="宋体"/>
                <w:color w:val="000000"/>
                <w:kern w:val="0"/>
                <w:sz w:val="24"/>
                <w:szCs w:val="24"/>
              </w:rPr>
            </w:pPr>
            <w:r>
              <w:rPr>
                <w:rFonts w:hint="eastAsia" w:ascii="宋体" w:hAnsi="宋体" w:cs="宋体"/>
                <w:color w:val="000000"/>
                <w:kern w:val="0"/>
                <w:sz w:val="24"/>
                <w:szCs w:val="24"/>
              </w:rPr>
              <w:t>公开</w:t>
            </w:r>
            <w:r>
              <w:rPr>
                <w:rFonts w:ascii="宋体" w:hAnsi="宋体" w:cs="宋体"/>
                <w:color w:val="000000"/>
                <w:kern w:val="0"/>
                <w:sz w:val="24"/>
                <w:szCs w:val="24"/>
              </w:rPr>
              <w:t>03</w:t>
            </w:r>
            <w:r>
              <w:rPr>
                <w:rFonts w:hint="eastAsia" w:ascii="宋体" w:hAnsi="宋体" w:cs="宋体"/>
                <w:color w:val="000000"/>
                <w:kern w:val="0"/>
                <w:sz w:val="24"/>
                <w:szCs w:val="24"/>
              </w:rPr>
              <w:t>表</w:t>
            </w:r>
          </w:p>
        </w:tc>
      </w:tr>
      <w:tr>
        <w:tblPrEx>
          <w:tblLayout w:type="fixed"/>
          <w:tblCellMar>
            <w:top w:w="0" w:type="dxa"/>
            <w:left w:w="108" w:type="dxa"/>
            <w:bottom w:w="0" w:type="dxa"/>
            <w:right w:w="108" w:type="dxa"/>
          </w:tblCellMar>
        </w:tblPrEx>
        <w:trPr>
          <w:trHeight w:val="300" w:hRule="atLeast"/>
        </w:trPr>
        <w:tc>
          <w:tcPr>
            <w:tcW w:w="5088" w:type="dxa"/>
            <w:gridSpan w:val="4"/>
            <w:tcBorders>
              <w:top w:val="nil"/>
              <w:left w:val="nil"/>
              <w:bottom w:val="single" w:color="auto" w:sz="4" w:space="0"/>
              <w:right w:val="nil"/>
            </w:tcBorders>
            <w:vAlign w:val="bottom"/>
          </w:tcPr>
          <w:p>
            <w:pPr>
              <w:widowControl/>
              <w:jc w:val="left"/>
              <w:rPr>
                <w:rFonts w:ascii="宋体"/>
                <w:color w:val="000000"/>
                <w:kern w:val="0"/>
                <w:sz w:val="24"/>
                <w:szCs w:val="24"/>
              </w:rPr>
            </w:pPr>
            <w:r>
              <w:rPr>
                <w:rFonts w:hint="eastAsia" w:ascii="宋体" w:hAnsi="宋体" w:cs="宋体"/>
                <w:color w:val="000000"/>
                <w:kern w:val="0"/>
                <w:sz w:val="24"/>
                <w:szCs w:val="24"/>
              </w:rPr>
              <w:t>公开部门：宁夏回族自治区人民医院</w:t>
            </w:r>
          </w:p>
        </w:tc>
        <w:tc>
          <w:tcPr>
            <w:tcW w:w="172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380" w:type="dxa"/>
            <w:tcBorders>
              <w:top w:val="nil"/>
              <w:left w:val="nil"/>
              <w:bottom w:val="nil"/>
              <w:right w:val="nil"/>
            </w:tcBorders>
            <w:vAlign w:val="bottom"/>
          </w:tcPr>
          <w:p>
            <w:pPr>
              <w:widowControl/>
              <w:jc w:val="center"/>
              <w:rPr>
                <w:rFonts w:ascii="宋体"/>
                <w:color w:val="000000"/>
                <w:kern w:val="0"/>
                <w:sz w:val="24"/>
                <w:szCs w:val="24"/>
              </w:rPr>
            </w:pPr>
          </w:p>
        </w:tc>
        <w:tc>
          <w:tcPr>
            <w:tcW w:w="142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5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2560" w:type="dxa"/>
            <w:gridSpan w:val="2"/>
            <w:tcBorders>
              <w:top w:val="nil"/>
              <w:left w:val="nil"/>
              <w:bottom w:val="single" w:color="auto" w:sz="4" w:space="0"/>
              <w:right w:val="nil"/>
            </w:tcBorders>
            <w:vAlign w:val="bottom"/>
          </w:tcPr>
          <w:p>
            <w:pPr>
              <w:widowControl/>
              <w:jc w:val="right"/>
              <w:rPr>
                <w:rFonts w:ascii="宋体"/>
                <w:color w:val="000000"/>
                <w:kern w:val="0"/>
                <w:sz w:val="24"/>
                <w:szCs w:val="24"/>
              </w:rPr>
            </w:pPr>
            <w:r>
              <w:rPr>
                <w:rFonts w:hint="eastAsia" w:ascii="宋体" w:hAnsi="宋体" w:cs="宋体"/>
                <w:color w:val="000000"/>
                <w:kern w:val="0"/>
                <w:sz w:val="24"/>
                <w:szCs w:val="24"/>
              </w:rPr>
              <w:t>金额单位：万元</w:t>
            </w:r>
          </w:p>
        </w:tc>
      </w:tr>
      <w:tr>
        <w:tblPrEx>
          <w:tblLayout w:type="fixed"/>
          <w:tblCellMar>
            <w:top w:w="0" w:type="dxa"/>
            <w:left w:w="108" w:type="dxa"/>
            <w:bottom w:w="0" w:type="dxa"/>
            <w:right w:w="108" w:type="dxa"/>
          </w:tblCellMar>
        </w:tblPrEx>
        <w:trPr>
          <w:trHeight w:val="308" w:hRule="atLeast"/>
        </w:trPr>
        <w:tc>
          <w:tcPr>
            <w:tcW w:w="5088"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17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本年支出合计</w:t>
            </w:r>
          </w:p>
        </w:tc>
        <w:tc>
          <w:tcPr>
            <w:tcW w:w="13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基本支出</w:t>
            </w:r>
          </w:p>
        </w:tc>
        <w:tc>
          <w:tcPr>
            <w:tcW w:w="14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项目支出</w:t>
            </w:r>
          </w:p>
        </w:tc>
        <w:tc>
          <w:tcPr>
            <w:tcW w:w="15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上缴上级支出</w:t>
            </w:r>
          </w:p>
        </w:tc>
        <w:tc>
          <w:tcPr>
            <w:tcW w:w="12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经营支出</w:t>
            </w:r>
          </w:p>
        </w:tc>
        <w:tc>
          <w:tcPr>
            <w:tcW w:w="13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对附属单位补助支出</w:t>
            </w:r>
          </w:p>
        </w:tc>
      </w:tr>
      <w:tr>
        <w:tblPrEx>
          <w:tblLayout w:type="fixed"/>
          <w:tblCellMar>
            <w:top w:w="0" w:type="dxa"/>
            <w:left w:w="108" w:type="dxa"/>
            <w:bottom w:w="0" w:type="dxa"/>
            <w:right w:w="108" w:type="dxa"/>
          </w:tblCellMar>
        </w:tblPrEx>
        <w:trPr>
          <w:trHeight w:val="312" w:hRule="atLeast"/>
        </w:trPr>
        <w:tc>
          <w:tcPr>
            <w:tcW w:w="130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功能分类科目编码</w:t>
            </w:r>
          </w:p>
        </w:tc>
        <w:tc>
          <w:tcPr>
            <w:tcW w:w="3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科目名称</w:t>
            </w:r>
          </w:p>
        </w:tc>
        <w:tc>
          <w:tcPr>
            <w:tcW w:w="1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5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类</w:t>
            </w:r>
          </w:p>
        </w:tc>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款</w:t>
            </w:r>
          </w:p>
        </w:tc>
        <w:tc>
          <w:tcPr>
            <w:tcW w:w="43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w:t>
            </w:r>
          </w:p>
        </w:tc>
        <w:tc>
          <w:tcPr>
            <w:tcW w:w="37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17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13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4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c>
          <w:tcPr>
            <w:tcW w:w="12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w:t>
            </w:r>
          </w:p>
        </w:tc>
        <w:tc>
          <w:tcPr>
            <w:tcW w:w="13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6</w:t>
            </w:r>
          </w:p>
        </w:tc>
      </w:tr>
      <w:tr>
        <w:tblPrEx>
          <w:tblLayout w:type="fixed"/>
          <w:tblCellMar>
            <w:top w:w="0" w:type="dxa"/>
            <w:left w:w="108" w:type="dxa"/>
            <w:bottom w:w="0" w:type="dxa"/>
            <w:right w:w="108" w:type="dxa"/>
          </w:tblCellMar>
        </w:tblPrEx>
        <w:trPr>
          <w:trHeight w:val="308" w:hRule="atLeast"/>
        </w:trPr>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7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184778.47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176183.51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8594.96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一般公共服务支出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20110</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人力资源事务</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2011008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引进人才费用</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教育支出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20508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进修及培训</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2050803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科学技术支出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基础研究</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2060203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自然科学基金</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20604</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技术研究与开发</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2060499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其他技术研究与开发支出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科技交流与合作</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2060899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其他科技交流与合作支出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其他科学技术支出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2069999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其他科学技术支出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208</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社会保障和就业支出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20805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行政事业单位离退休</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2080505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2080506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机关事业单位职业年金缴费支出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2080599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其他行政事业单位离退休支出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医疗卫生与计划生育支出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180500.95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172430.99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8069.96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公立医院</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179924.97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172030.83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7894.14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综合医院</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178022.78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172030.83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5991.95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2100299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其他公立医院支出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1902.19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1902.19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21004</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公共卫生</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2100409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重大公共卫生专项</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21005</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医疗保障</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2100502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事业单位医疗</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21006</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中医药</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2100601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中医（民族医）药专项</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其他医疗卫生与计划生育支出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2109901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其他医疗卫生与计划生育支出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农林水支出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21307</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农村综合改革</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2130799</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其他农村综合改革支出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221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住房保障支出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22102</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住房改革支出</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2210201</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30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r>
              <w:rPr>
                <w:rFonts w:ascii="宋体" w:hAnsi="宋体" w:cs="宋体"/>
                <w:color w:val="000000"/>
                <w:kern w:val="0"/>
                <w:sz w:val="20"/>
                <w:szCs w:val="20"/>
              </w:rPr>
              <w:t>2210203</w:t>
            </w:r>
          </w:p>
        </w:tc>
        <w:tc>
          <w:tcPr>
            <w:tcW w:w="378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购房补贴</w:t>
            </w:r>
          </w:p>
        </w:tc>
        <w:tc>
          <w:tcPr>
            <w:tcW w:w="17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292.04</w:t>
            </w:r>
          </w:p>
        </w:tc>
        <w:tc>
          <w:tcPr>
            <w:tcW w:w="13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292.03 </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510" w:hRule="atLeast"/>
        </w:trPr>
        <w:tc>
          <w:tcPr>
            <w:tcW w:w="13748" w:type="dxa"/>
            <w:gridSpan w:val="10"/>
            <w:tcBorders>
              <w:top w:val="nil"/>
              <w:left w:val="nil"/>
              <w:bottom w:val="nil"/>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注：本表反映部门本年度各项支出情况，数据取自财决</w:t>
            </w:r>
            <w:r>
              <w:rPr>
                <w:rFonts w:ascii="宋体" w:hAnsi="宋体" w:cs="宋体"/>
                <w:color w:val="000000"/>
                <w:kern w:val="0"/>
                <w:sz w:val="22"/>
                <w:szCs w:val="22"/>
              </w:rPr>
              <w:t>04</w:t>
            </w:r>
            <w:r>
              <w:rPr>
                <w:rFonts w:hint="eastAsia" w:ascii="宋体" w:hAnsi="宋体" w:cs="宋体"/>
                <w:color w:val="000000"/>
                <w:kern w:val="0"/>
                <w:sz w:val="22"/>
                <w:szCs w:val="22"/>
              </w:rPr>
              <w:t>表</w:t>
            </w:r>
          </w:p>
          <w:p>
            <w:pPr>
              <w:widowControl/>
              <w:jc w:val="left"/>
              <w:rPr>
                <w:rFonts w:ascii="宋体"/>
                <w:color w:val="000000"/>
                <w:kern w:val="0"/>
                <w:sz w:val="22"/>
                <w:szCs w:val="22"/>
              </w:rPr>
            </w:pPr>
          </w:p>
          <w:p>
            <w:pPr>
              <w:widowControl/>
              <w:jc w:val="left"/>
              <w:rPr>
                <w:rFonts w:ascii="宋体"/>
                <w:color w:val="000000"/>
                <w:kern w:val="0"/>
                <w:sz w:val="22"/>
                <w:szCs w:val="22"/>
              </w:rPr>
            </w:pPr>
          </w:p>
        </w:tc>
      </w:tr>
    </w:tbl>
    <w:p>
      <w:pPr>
        <w:jc w:val="center"/>
        <w:rPr>
          <w:rFonts w:ascii="宋体"/>
          <w:b/>
          <w:bCs/>
          <w:color w:val="000000"/>
          <w:kern w:val="0"/>
          <w:sz w:val="44"/>
          <w:szCs w:val="44"/>
        </w:rPr>
      </w:pPr>
      <w:r>
        <w:rPr>
          <w:rFonts w:hint="eastAsia" w:ascii="宋体" w:hAnsi="宋体" w:cs="宋体"/>
          <w:b/>
          <w:bCs/>
          <w:color w:val="000000"/>
          <w:kern w:val="0"/>
          <w:sz w:val="44"/>
          <w:szCs w:val="44"/>
        </w:rPr>
        <w:t>财政拨款收入支出决算总表</w:t>
      </w:r>
    </w:p>
    <w:tbl>
      <w:tblPr>
        <w:tblStyle w:val="6"/>
        <w:tblW w:w="13580" w:type="dxa"/>
        <w:tblInd w:w="-106" w:type="dxa"/>
        <w:tblLayout w:type="fixed"/>
        <w:tblCellMar>
          <w:top w:w="0" w:type="dxa"/>
          <w:left w:w="108" w:type="dxa"/>
          <w:bottom w:w="0" w:type="dxa"/>
          <w:right w:w="108" w:type="dxa"/>
        </w:tblCellMar>
      </w:tblPr>
      <w:tblGrid>
        <w:gridCol w:w="3280"/>
        <w:gridCol w:w="580"/>
        <w:gridCol w:w="1420"/>
        <w:gridCol w:w="3100"/>
        <w:gridCol w:w="960"/>
        <w:gridCol w:w="1360"/>
        <w:gridCol w:w="1360"/>
        <w:gridCol w:w="1520"/>
      </w:tblGrid>
      <w:tr>
        <w:tblPrEx>
          <w:tblLayout w:type="fixed"/>
          <w:tblCellMar>
            <w:top w:w="0" w:type="dxa"/>
            <w:left w:w="108" w:type="dxa"/>
            <w:bottom w:w="0" w:type="dxa"/>
            <w:right w:w="108" w:type="dxa"/>
          </w:tblCellMar>
        </w:tblPrEx>
        <w:trPr>
          <w:trHeight w:val="300" w:hRule="atLeast"/>
        </w:trPr>
        <w:tc>
          <w:tcPr>
            <w:tcW w:w="32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5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310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96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36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2880" w:type="dxa"/>
            <w:gridSpan w:val="2"/>
            <w:tcBorders>
              <w:top w:val="nil"/>
              <w:left w:val="nil"/>
              <w:bottom w:val="nil"/>
              <w:right w:val="nil"/>
            </w:tcBorders>
            <w:vAlign w:val="bottom"/>
          </w:tcPr>
          <w:p>
            <w:pPr>
              <w:widowControl/>
              <w:jc w:val="right"/>
              <w:rPr>
                <w:rFonts w:ascii="宋体"/>
                <w:color w:val="000000"/>
                <w:kern w:val="0"/>
                <w:sz w:val="24"/>
                <w:szCs w:val="24"/>
              </w:rPr>
            </w:pPr>
            <w:r>
              <w:rPr>
                <w:rFonts w:hint="eastAsia" w:ascii="宋体" w:hAnsi="宋体" w:cs="宋体"/>
                <w:color w:val="000000"/>
                <w:kern w:val="0"/>
                <w:sz w:val="24"/>
                <w:szCs w:val="24"/>
              </w:rPr>
              <w:t>公开</w:t>
            </w:r>
            <w:r>
              <w:rPr>
                <w:rFonts w:ascii="Arial" w:hAnsi="Arial" w:cs="Arial"/>
                <w:color w:val="000000"/>
                <w:kern w:val="0"/>
                <w:sz w:val="24"/>
                <w:szCs w:val="24"/>
              </w:rPr>
              <w:t>04</w:t>
            </w:r>
            <w:r>
              <w:rPr>
                <w:rFonts w:hint="eastAsia" w:ascii="宋体" w:hAnsi="宋体" w:cs="宋体"/>
                <w:color w:val="000000"/>
                <w:kern w:val="0"/>
                <w:sz w:val="24"/>
                <w:szCs w:val="24"/>
              </w:rPr>
              <w:t>表</w:t>
            </w:r>
          </w:p>
        </w:tc>
      </w:tr>
      <w:tr>
        <w:tblPrEx>
          <w:tblLayout w:type="fixed"/>
          <w:tblCellMar>
            <w:top w:w="0" w:type="dxa"/>
            <w:left w:w="108" w:type="dxa"/>
            <w:bottom w:w="0" w:type="dxa"/>
            <w:right w:w="108" w:type="dxa"/>
          </w:tblCellMar>
        </w:tblPrEx>
        <w:trPr>
          <w:trHeight w:val="300" w:hRule="atLeast"/>
        </w:trPr>
        <w:tc>
          <w:tcPr>
            <w:tcW w:w="8380" w:type="dxa"/>
            <w:gridSpan w:val="4"/>
            <w:tcBorders>
              <w:top w:val="nil"/>
              <w:left w:val="nil"/>
              <w:bottom w:val="single" w:color="auto" w:sz="4" w:space="0"/>
              <w:right w:val="nil"/>
            </w:tcBorders>
            <w:vAlign w:val="bottom"/>
          </w:tcPr>
          <w:p>
            <w:pPr>
              <w:widowControl/>
              <w:jc w:val="left"/>
              <w:rPr>
                <w:rFonts w:ascii="宋体"/>
                <w:color w:val="000000"/>
                <w:kern w:val="0"/>
                <w:sz w:val="24"/>
                <w:szCs w:val="24"/>
              </w:rPr>
            </w:pPr>
            <w:r>
              <w:rPr>
                <w:rFonts w:hint="eastAsia" w:ascii="宋体" w:hAnsi="宋体" w:cs="宋体"/>
                <w:color w:val="000000"/>
                <w:kern w:val="0"/>
                <w:sz w:val="24"/>
                <w:szCs w:val="24"/>
              </w:rPr>
              <w:t>公开部门：宁夏回族自治区人民医院</w:t>
            </w:r>
          </w:p>
        </w:tc>
        <w:tc>
          <w:tcPr>
            <w:tcW w:w="96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360" w:type="dxa"/>
            <w:tcBorders>
              <w:top w:val="nil"/>
              <w:left w:val="nil"/>
              <w:bottom w:val="nil"/>
              <w:right w:val="nil"/>
            </w:tcBorders>
            <w:vAlign w:val="bottom"/>
          </w:tcPr>
          <w:p>
            <w:pPr>
              <w:widowControl/>
              <w:jc w:val="center"/>
              <w:rPr>
                <w:rFonts w:ascii="宋体"/>
                <w:color w:val="000000"/>
                <w:kern w:val="0"/>
                <w:sz w:val="24"/>
                <w:szCs w:val="24"/>
              </w:rPr>
            </w:pPr>
          </w:p>
        </w:tc>
        <w:tc>
          <w:tcPr>
            <w:tcW w:w="2880" w:type="dxa"/>
            <w:gridSpan w:val="2"/>
            <w:tcBorders>
              <w:top w:val="nil"/>
              <w:left w:val="nil"/>
              <w:bottom w:val="single" w:color="auto" w:sz="4" w:space="0"/>
              <w:right w:val="nil"/>
            </w:tcBorders>
            <w:vAlign w:val="bottom"/>
          </w:tcPr>
          <w:p>
            <w:pPr>
              <w:widowControl/>
              <w:jc w:val="right"/>
              <w:rPr>
                <w:rFonts w:ascii="宋体"/>
                <w:color w:val="000000"/>
                <w:kern w:val="0"/>
                <w:sz w:val="24"/>
                <w:szCs w:val="24"/>
              </w:rPr>
            </w:pPr>
            <w:r>
              <w:rPr>
                <w:rFonts w:hint="eastAsia" w:ascii="宋体" w:hAnsi="宋体" w:cs="宋体"/>
                <w:color w:val="000000"/>
                <w:kern w:val="0"/>
                <w:sz w:val="24"/>
                <w:szCs w:val="24"/>
              </w:rPr>
              <w:t>金额单位：万元</w:t>
            </w:r>
          </w:p>
        </w:tc>
      </w:tr>
      <w:tr>
        <w:tblPrEx>
          <w:tblLayout w:type="fixed"/>
          <w:tblCellMar>
            <w:top w:w="0" w:type="dxa"/>
            <w:left w:w="108" w:type="dxa"/>
            <w:bottom w:w="0" w:type="dxa"/>
            <w:right w:w="108" w:type="dxa"/>
          </w:tblCellMar>
        </w:tblPrEx>
        <w:trPr>
          <w:trHeight w:val="300" w:hRule="atLeast"/>
        </w:trPr>
        <w:tc>
          <w:tcPr>
            <w:tcW w:w="52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收</w:t>
            </w:r>
            <w:r>
              <w:rPr>
                <w:rFonts w:ascii="宋体" w:hAnsi="宋体" w:cs="宋体"/>
                <w:color w:val="000000"/>
                <w:kern w:val="0"/>
                <w:sz w:val="22"/>
                <w:szCs w:val="22"/>
              </w:rPr>
              <w:t xml:space="preserve">     </w:t>
            </w:r>
            <w:r>
              <w:rPr>
                <w:rFonts w:hint="eastAsia" w:ascii="宋体" w:hAnsi="宋体" w:cs="宋体"/>
                <w:color w:val="000000"/>
                <w:kern w:val="0"/>
                <w:sz w:val="22"/>
                <w:szCs w:val="22"/>
              </w:rPr>
              <w:t>入</w:t>
            </w:r>
          </w:p>
        </w:tc>
        <w:tc>
          <w:tcPr>
            <w:tcW w:w="8300" w:type="dxa"/>
            <w:gridSpan w:val="5"/>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支</w:t>
            </w:r>
            <w:r>
              <w:rPr>
                <w:rFonts w:ascii="宋体" w:hAnsi="宋体" w:cs="宋体"/>
                <w:color w:val="000000"/>
                <w:kern w:val="0"/>
                <w:sz w:val="22"/>
                <w:szCs w:val="22"/>
              </w:rPr>
              <w:t xml:space="preserve">     </w:t>
            </w:r>
            <w:r>
              <w:rPr>
                <w:rFonts w:hint="eastAsia" w:ascii="宋体" w:hAnsi="宋体" w:cs="宋体"/>
                <w:color w:val="000000"/>
                <w:kern w:val="0"/>
                <w:sz w:val="22"/>
                <w:szCs w:val="22"/>
              </w:rPr>
              <w:t>出</w:t>
            </w:r>
          </w:p>
        </w:tc>
      </w:tr>
      <w:tr>
        <w:tblPrEx>
          <w:tblLayout w:type="fixed"/>
          <w:tblCellMar>
            <w:top w:w="0" w:type="dxa"/>
            <w:left w:w="108" w:type="dxa"/>
            <w:bottom w:w="0" w:type="dxa"/>
            <w:right w:w="108" w:type="dxa"/>
          </w:tblCellMar>
        </w:tblPrEx>
        <w:trPr>
          <w:trHeight w:val="330" w:hRule="atLeast"/>
        </w:trPr>
        <w:tc>
          <w:tcPr>
            <w:tcW w:w="32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w:t>
            </w:r>
            <w:r>
              <w:rPr>
                <w:rFonts w:ascii="宋体" w:hAnsi="宋体" w:cs="宋体"/>
                <w:color w:val="000000"/>
                <w:kern w:val="0"/>
                <w:sz w:val="22"/>
                <w:szCs w:val="22"/>
              </w:rPr>
              <w:t xml:space="preserve">    </w:t>
            </w:r>
            <w:r>
              <w:rPr>
                <w:rFonts w:hint="eastAsia" w:ascii="宋体" w:hAnsi="宋体" w:cs="宋体"/>
                <w:color w:val="000000"/>
                <w:kern w:val="0"/>
                <w:sz w:val="22"/>
                <w:szCs w:val="22"/>
              </w:rPr>
              <w:t>目</w:t>
            </w:r>
          </w:p>
        </w:tc>
        <w:tc>
          <w:tcPr>
            <w:tcW w:w="5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行次</w:t>
            </w:r>
          </w:p>
        </w:tc>
        <w:tc>
          <w:tcPr>
            <w:tcW w:w="14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决算数</w:t>
            </w:r>
          </w:p>
        </w:tc>
        <w:tc>
          <w:tcPr>
            <w:tcW w:w="310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9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行次</w:t>
            </w:r>
          </w:p>
        </w:tc>
        <w:tc>
          <w:tcPr>
            <w:tcW w:w="4240" w:type="dxa"/>
            <w:gridSpan w:val="3"/>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决算数</w:t>
            </w:r>
          </w:p>
        </w:tc>
      </w:tr>
      <w:tr>
        <w:tblPrEx>
          <w:tblLayout w:type="fixed"/>
          <w:tblCellMar>
            <w:top w:w="0" w:type="dxa"/>
            <w:left w:w="108" w:type="dxa"/>
            <w:bottom w:w="0" w:type="dxa"/>
            <w:right w:w="108" w:type="dxa"/>
          </w:tblCellMar>
        </w:tblPrEx>
        <w:trPr>
          <w:trHeight w:val="705" w:hRule="atLeast"/>
        </w:trPr>
        <w:tc>
          <w:tcPr>
            <w:tcW w:w="32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4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3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13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一般公共预算财政拨款</w:t>
            </w:r>
          </w:p>
        </w:tc>
        <w:tc>
          <w:tcPr>
            <w:tcW w:w="15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政府性基金预算财政拨款</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w:t>
            </w:r>
            <w:r>
              <w:rPr>
                <w:rFonts w:ascii="宋体" w:hAnsi="宋体" w:cs="宋体"/>
                <w:color w:val="000000"/>
                <w:kern w:val="0"/>
                <w:sz w:val="22"/>
                <w:szCs w:val="22"/>
              </w:rPr>
              <w:t xml:space="preserve">    </w:t>
            </w:r>
            <w:r>
              <w:rPr>
                <w:rFonts w:hint="eastAsia" w:ascii="宋体" w:hAnsi="宋体" w:cs="宋体"/>
                <w:color w:val="000000"/>
                <w:kern w:val="0"/>
                <w:sz w:val="22"/>
                <w:szCs w:val="22"/>
              </w:rPr>
              <w:t>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310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w:t>
            </w:r>
            <w:r>
              <w:rPr>
                <w:rFonts w:ascii="宋体" w:hAnsi="宋体" w:cs="宋体"/>
                <w:color w:val="000000"/>
                <w:kern w:val="0"/>
                <w:sz w:val="22"/>
                <w:szCs w:val="22"/>
              </w:rPr>
              <w:t xml:space="preserve">    </w:t>
            </w:r>
            <w:r>
              <w:rPr>
                <w:rFonts w:hint="eastAsia" w:ascii="宋体" w:hAnsi="宋体" w:cs="宋体"/>
                <w:color w:val="000000"/>
                <w:kern w:val="0"/>
                <w:sz w:val="22"/>
                <w:szCs w:val="22"/>
              </w:rPr>
              <w:t>次</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　</w:t>
            </w:r>
          </w:p>
        </w:tc>
        <w:tc>
          <w:tcPr>
            <w:tcW w:w="13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3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5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一、一般公共预算财政拨款</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14719.37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一、一般公共服务支出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29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二、政府性基金预算财政拨款</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二、外交支出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三、国防支出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31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四、公共安全支出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32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五、教育支出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33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6</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六、科学技术支出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34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7</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七、文化体育与传媒支出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35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8</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八、社会保障和就业支出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36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9</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九、医疗卫生与计划生育支出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37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11658.57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11658.57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10</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十、节能环保支出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38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11</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十一、城乡社区支出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39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12</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十二、农林水支出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13</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十三、交通运输支出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41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14</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十四、资源勘探信息等支出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42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15</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十五、商业服务业等支出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43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16</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十六、金融支出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44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17</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十七、援助其他地区支出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45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18</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十八、国土海洋气象等支出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46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19</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十九、住房保障支出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47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20</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二十、粮油物资储备支出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48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21</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二十一、其他支出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49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22</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二十二、债务还本支出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50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23</w:t>
            </w:r>
          </w:p>
        </w:tc>
        <w:tc>
          <w:tcPr>
            <w:tcW w:w="1420" w:type="dxa"/>
            <w:tcBorders>
              <w:top w:val="nil"/>
              <w:left w:val="nil"/>
              <w:bottom w:val="single" w:color="auto" w:sz="4" w:space="0"/>
              <w:right w:val="single" w:color="auto" w:sz="4" w:space="0"/>
            </w:tcBorders>
            <w:vAlign w:val="bottom"/>
          </w:tcPr>
          <w:p>
            <w:pPr>
              <w:widowControl/>
              <w:jc w:val="left"/>
              <w:rPr>
                <w:rFonts w:ascii="Arial" w:hAnsi="Arial" w:cs="Arial"/>
                <w:color w:val="000000"/>
                <w:kern w:val="0"/>
                <w:sz w:val="20"/>
                <w:szCs w:val="20"/>
              </w:rPr>
            </w:pPr>
            <w:r>
              <w:rPr>
                <w:rFonts w:hint="eastAsia" w:ascii="Arial" w:hAnsi="Arial" w:cs="宋体"/>
                <w:color w:val="000000"/>
                <w:kern w:val="0"/>
                <w:sz w:val="20"/>
                <w:szCs w:val="20"/>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二十三、债务付息支出</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51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本年收入合计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24</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14719.37 </w:t>
            </w:r>
          </w:p>
        </w:tc>
        <w:tc>
          <w:tcPr>
            <w:tcW w:w="310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本年支出合计</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52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15936.09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15936.09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年初财政拨款结转和结余</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25</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12604.32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年末财政拨款结转和结余</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53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11387.60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11387.60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一、一般公共预算财政拨款</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26</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12604.32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54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36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二、政府性基金预算财政拨款</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27</w:t>
            </w:r>
          </w:p>
        </w:tc>
        <w:tc>
          <w:tcPr>
            <w:tcW w:w="1420" w:type="dxa"/>
            <w:tcBorders>
              <w:top w:val="nil"/>
              <w:left w:val="nil"/>
              <w:bottom w:val="single" w:color="auto" w:sz="4" w:space="0"/>
              <w:right w:val="single" w:color="auto" w:sz="4" w:space="0"/>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31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55 </w:t>
            </w:r>
          </w:p>
        </w:tc>
        <w:tc>
          <w:tcPr>
            <w:tcW w:w="136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36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85" w:hRule="atLeast"/>
        </w:trPr>
        <w:tc>
          <w:tcPr>
            <w:tcW w:w="3280" w:type="dxa"/>
            <w:tcBorders>
              <w:top w:val="nil"/>
              <w:left w:val="single" w:color="auto" w:sz="4" w:space="0"/>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合计</w:t>
            </w:r>
          </w:p>
        </w:tc>
        <w:tc>
          <w:tcPr>
            <w:tcW w:w="5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28</w:t>
            </w:r>
          </w:p>
        </w:tc>
        <w:tc>
          <w:tcPr>
            <w:tcW w:w="142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27323.69 </w:t>
            </w:r>
          </w:p>
        </w:tc>
        <w:tc>
          <w:tcPr>
            <w:tcW w:w="310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szCs w:val="22"/>
              </w:rPr>
            </w:pPr>
            <w:r>
              <w:rPr>
                <w:rFonts w:hint="eastAsia" w:ascii="宋体" w:hAnsi="宋体" w:cs="宋体"/>
                <w:b/>
                <w:bCs/>
                <w:color w:val="000000"/>
                <w:kern w:val="0"/>
                <w:sz w:val="22"/>
                <w:szCs w:val="22"/>
              </w:rPr>
              <w:t>合计</w:t>
            </w:r>
          </w:p>
        </w:tc>
        <w:tc>
          <w:tcPr>
            <w:tcW w:w="96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 xml:space="preserve">56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27323.69 </w:t>
            </w:r>
          </w:p>
        </w:tc>
        <w:tc>
          <w:tcPr>
            <w:tcW w:w="136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27323.69 </w:t>
            </w:r>
          </w:p>
        </w:tc>
        <w:tc>
          <w:tcPr>
            <w:tcW w:w="152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0" w:hRule="atLeast"/>
        </w:trPr>
        <w:tc>
          <w:tcPr>
            <w:tcW w:w="13580" w:type="dxa"/>
            <w:gridSpan w:val="8"/>
            <w:tcBorders>
              <w:top w:val="nil"/>
              <w:left w:val="nil"/>
              <w:bottom w:val="nil"/>
              <w:right w:val="nil"/>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注：本表反映部门本年度一般公共预算财政拨款和政府性基金预算财政拨款的总收支和年末结余结转情况，数据取自财决</w:t>
            </w:r>
            <w:r>
              <w:rPr>
                <w:rFonts w:ascii="宋体" w:hAnsi="宋体" w:cs="宋体"/>
                <w:color w:val="000000"/>
                <w:kern w:val="0"/>
                <w:sz w:val="22"/>
                <w:szCs w:val="22"/>
              </w:rPr>
              <w:t>01-1</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r>
        <w:rPr>
          <w:rFonts w:hint="eastAsia" w:ascii="宋体" w:hAnsi="宋体" w:cs="宋体"/>
          <w:b/>
          <w:bCs/>
          <w:color w:val="000000"/>
          <w:kern w:val="0"/>
          <w:sz w:val="44"/>
          <w:szCs w:val="44"/>
        </w:rPr>
        <w:t>一般公共预算财政拨款支出决算表</w:t>
      </w:r>
    </w:p>
    <w:tbl>
      <w:tblPr>
        <w:tblStyle w:val="6"/>
        <w:tblW w:w="11980" w:type="dxa"/>
        <w:tblInd w:w="-106" w:type="dxa"/>
        <w:tblLayout w:type="fixed"/>
        <w:tblCellMar>
          <w:top w:w="0" w:type="dxa"/>
          <w:left w:w="108" w:type="dxa"/>
          <w:bottom w:w="0" w:type="dxa"/>
          <w:right w:w="108" w:type="dxa"/>
        </w:tblCellMar>
      </w:tblPr>
      <w:tblGrid>
        <w:gridCol w:w="520"/>
        <w:gridCol w:w="480"/>
        <w:gridCol w:w="520"/>
        <w:gridCol w:w="4000"/>
        <w:gridCol w:w="2340"/>
        <w:gridCol w:w="2280"/>
        <w:gridCol w:w="1840"/>
      </w:tblGrid>
      <w:tr>
        <w:tblPrEx>
          <w:tblLayout w:type="fixed"/>
          <w:tblCellMar>
            <w:top w:w="0" w:type="dxa"/>
            <w:left w:w="108" w:type="dxa"/>
            <w:bottom w:w="0" w:type="dxa"/>
            <w:right w:w="108" w:type="dxa"/>
          </w:tblCellMar>
        </w:tblPrEx>
        <w:trPr>
          <w:trHeight w:val="285" w:hRule="atLeast"/>
        </w:trPr>
        <w:tc>
          <w:tcPr>
            <w:tcW w:w="520" w:type="dxa"/>
            <w:tcBorders>
              <w:top w:val="nil"/>
              <w:left w:val="nil"/>
              <w:bottom w:val="nil"/>
              <w:right w:val="nil"/>
            </w:tcBorders>
            <w:vAlign w:val="bottom"/>
          </w:tcPr>
          <w:p>
            <w:pPr>
              <w:widowControl/>
              <w:jc w:val="left"/>
              <w:rPr>
                <w:rFonts w:ascii="宋体"/>
                <w:color w:val="000000"/>
                <w:kern w:val="0"/>
                <w:sz w:val="22"/>
                <w:szCs w:val="22"/>
              </w:rPr>
            </w:pPr>
          </w:p>
        </w:tc>
        <w:tc>
          <w:tcPr>
            <w:tcW w:w="480" w:type="dxa"/>
            <w:tcBorders>
              <w:top w:val="nil"/>
              <w:left w:val="nil"/>
              <w:bottom w:val="nil"/>
              <w:right w:val="nil"/>
            </w:tcBorders>
            <w:vAlign w:val="bottom"/>
          </w:tcPr>
          <w:p>
            <w:pPr>
              <w:widowControl/>
              <w:jc w:val="left"/>
              <w:rPr>
                <w:rFonts w:ascii="宋体"/>
                <w:color w:val="000000"/>
                <w:kern w:val="0"/>
                <w:sz w:val="22"/>
                <w:szCs w:val="22"/>
              </w:rPr>
            </w:pPr>
          </w:p>
        </w:tc>
        <w:tc>
          <w:tcPr>
            <w:tcW w:w="520" w:type="dxa"/>
            <w:tcBorders>
              <w:top w:val="nil"/>
              <w:left w:val="nil"/>
              <w:bottom w:val="nil"/>
              <w:right w:val="nil"/>
            </w:tcBorders>
            <w:vAlign w:val="bottom"/>
          </w:tcPr>
          <w:p>
            <w:pPr>
              <w:widowControl/>
              <w:jc w:val="left"/>
              <w:rPr>
                <w:rFonts w:ascii="宋体"/>
                <w:color w:val="000000"/>
                <w:kern w:val="0"/>
                <w:sz w:val="22"/>
                <w:szCs w:val="22"/>
              </w:rPr>
            </w:pPr>
          </w:p>
        </w:tc>
        <w:tc>
          <w:tcPr>
            <w:tcW w:w="4000" w:type="dxa"/>
            <w:tcBorders>
              <w:top w:val="nil"/>
              <w:left w:val="nil"/>
              <w:bottom w:val="nil"/>
              <w:right w:val="nil"/>
            </w:tcBorders>
            <w:vAlign w:val="bottom"/>
          </w:tcPr>
          <w:p>
            <w:pPr>
              <w:widowControl/>
              <w:jc w:val="left"/>
              <w:rPr>
                <w:rFonts w:ascii="宋体"/>
                <w:color w:val="000000"/>
                <w:kern w:val="0"/>
                <w:sz w:val="22"/>
                <w:szCs w:val="22"/>
              </w:rPr>
            </w:pPr>
          </w:p>
        </w:tc>
        <w:tc>
          <w:tcPr>
            <w:tcW w:w="2340" w:type="dxa"/>
            <w:tcBorders>
              <w:top w:val="nil"/>
              <w:left w:val="nil"/>
              <w:bottom w:val="nil"/>
              <w:right w:val="nil"/>
            </w:tcBorders>
            <w:vAlign w:val="bottom"/>
          </w:tcPr>
          <w:p>
            <w:pPr>
              <w:widowControl/>
              <w:jc w:val="left"/>
              <w:rPr>
                <w:rFonts w:ascii="宋体"/>
                <w:color w:val="000000"/>
                <w:kern w:val="0"/>
                <w:sz w:val="22"/>
                <w:szCs w:val="22"/>
              </w:rPr>
            </w:pPr>
          </w:p>
        </w:tc>
        <w:tc>
          <w:tcPr>
            <w:tcW w:w="2280" w:type="dxa"/>
            <w:tcBorders>
              <w:top w:val="nil"/>
              <w:left w:val="nil"/>
              <w:bottom w:val="nil"/>
              <w:right w:val="nil"/>
            </w:tcBorders>
            <w:vAlign w:val="bottom"/>
          </w:tcPr>
          <w:p>
            <w:pPr>
              <w:widowControl/>
              <w:jc w:val="left"/>
              <w:rPr>
                <w:rFonts w:ascii="宋体"/>
                <w:color w:val="000000"/>
                <w:kern w:val="0"/>
                <w:sz w:val="22"/>
                <w:szCs w:val="22"/>
              </w:rPr>
            </w:pPr>
          </w:p>
        </w:tc>
        <w:tc>
          <w:tcPr>
            <w:tcW w:w="1840" w:type="dxa"/>
            <w:tcBorders>
              <w:top w:val="nil"/>
              <w:left w:val="nil"/>
              <w:bottom w:val="nil"/>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05</w:t>
            </w:r>
            <w:r>
              <w:rPr>
                <w:rFonts w:hint="eastAsia" w:ascii="宋体" w:hAnsi="宋体" w:cs="宋体"/>
                <w:color w:val="000000"/>
                <w:kern w:val="0"/>
                <w:sz w:val="22"/>
                <w:szCs w:val="22"/>
              </w:rPr>
              <w:t>表</w:t>
            </w:r>
          </w:p>
        </w:tc>
      </w:tr>
      <w:tr>
        <w:tblPrEx>
          <w:tblLayout w:type="fixed"/>
          <w:tblCellMar>
            <w:top w:w="0" w:type="dxa"/>
            <w:left w:w="108" w:type="dxa"/>
            <w:bottom w:w="0" w:type="dxa"/>
            <w:right w:w="108" w:type="dxa"/>
          </w:tblCellMar>
        </w:tblPrEx>
        <w:trPr>
          <w:trHeight w:val="285" w:hRule="atLeast"/>
        </w:trPr>
        <w:tc>
          <w:tcPr>
            <w:tcW w:w="7860" w:type="dxa"/>
            <w:gridSpan w:val="5"/>
            <w:tcBorders>
              <w:top w:val="nil"/>
              <w:left w:val="nil"/>
              <w:bottom w:val="single" w:color="auto" w:sz="4" w:space="0"/>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公开部门：宁夏回族自治区人民医院</w:t>
            </w:r>
          </w:p>
        </w:tc>
        <w:tc>
          <w:tcPr>
            <w:tcW w:w="4120" w:type="dxa"/>
            <w:gridSpan w:val="2"/>
            <w:tcBorders>
              <w:top w:val="nil"/>
              <w:left w:val="nil"/>
              <w:bottom w:val="single" w:color="auto" w:sz="4" w:space="0"/>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金额单位：万元</w:t>
            </w:r>
          </w:p>
        </w:tc>
      </w:tr>
      <w:tr>
        <w:tblPrEx>
          <w:tblLayout w:type="fixed"/>
          <w:tblCellMar>
            <w:top w:w="0" w:type="dxa"/>
            <w:left w:w="108" w:type="dxa"/>
            <w:bottom w:w="0" w:type="dxa"/>
            <w:right w:w="108" w:type="dxa"/>
          </w:tblCellMar>
        </w:tblPrEx>
        <w:trPr>
          <w:trHeight w:val="308" w:hRule="atLeast"/>
        </w:trPr>
        <w:tc>
          <w:tcPr>
            <w:tcW w:w="55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23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本年支出合计</w:t>
            </w:r>
          </w:p>
        </w:tc>
        <w:tc>
          <w:tcPr>
            <w:tcW w:w="22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基本支出</w:t>
            </w:r>
          </w:p>
        </w:tc>
        <w:tc>
          <w:tcPr>
            <w:tcW w:w="18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项目支出</w:t>
            </w:r>
          </w:p>
        </w:tc>
      </w:tr>
      <w:tr>
        <w:tblPrEx>
          <w:tblLayout w:type="fixed"/>
          <w:tblCellMar>
            <w:top w:w="0" w:type="dxa"/>
            <w:left w:w="108" w:type="dxa"/>
            <w:bottom w:w="0" w:type="dxa"/>
            <w:right w:w="108" w:type="dxa"/>
          </w:tblCellMar>
        </w:tblPrEx>
        <w:trPr>
          <w:trHeight w:val="312" w:hRule="atLeast"/>
        </w:trPr>
        <w:tc>
          <w:tcPr>
            <w:tcW w:w="152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功能分类科目编码</w:t>
            </w:r>
          </w:p>
        </w:tc>
        <w:tc>
          <w:tcPr>
            <w:tcW w:w="400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科目名称</w:t>
            </w:r>
          </w:p>
        </w:tc>
        <w:tc>
          <w:tcPr>
            <w:tcW w:w="23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2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52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3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2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52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3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2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5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类</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款</w:t>
            </w:r>
          </w:p>
        </w:tc>
        <w:tc>
          <w:tcPr>
            <w:tcW w:w="5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w:t>
            </w:r>
          </w:p>
        </w:tc>
        <w:tc>
          <w:tcPr>
            <w:tcW w:w="400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23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22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8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r>
      <w:tr>
        <w:tblPrEx>
          <w:tblLayout w:type="fixed"/>
          <w:tblCellMar>
            <w:top w:w="0" w:type="dxa"/>
            <w:left w:w="108" w:type="dxa"/>
            <w:bottom w:w="0" w:type="dxa"/>
            <w:right w:w="108" w:type="dxa"/>
          </w:tblCellMar>
        </w:tblPrEx>
        <w:trPr>
          <w:trHeight w:val="308"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00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15936.09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7614.68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8321.41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一般公共服务支出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20110</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人力资源事务</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2011008</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引进人才费用</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161.49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205</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教育支出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20508</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进修及培训</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2050803</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4.82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科学技术支出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338.25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20602</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基础研究</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2060203</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自然科学基金</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73.40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20604</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技术研究与开发</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2060499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其他技术研究与开发支出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159.48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20605</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科技条件与服务</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2060503</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科技条件专项</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20608</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科技交流与合作</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2060899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其他科技交流与合作支出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10.86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其他科学技术支出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2069999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其他科学技术支出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94.51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社会保障和就业支出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行政事业单位离退休</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2821.80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2080505</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2080506</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机关事业单位职业年金缴费支出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2080599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其他行政事业单位离退休支出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1497.05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医疗卫生与计划生育支出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11658.57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3862.16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7796.41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医疗卫生与计划生育管理事务</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2100199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其他医疗卫生与计划生育管理事务支出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公立医院</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11082.58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3462.00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7620.59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综合医院</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9180.40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3462.00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5718.40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2100299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其他公立医院支出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1902.19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1902.19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21004</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公共卫生</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2100409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重大公共卫生专项</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171.17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21005</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医疗保障</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2100502</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事业单位医疗</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400.16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21006</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中医药</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2100601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中医（民族医）药专项</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0.29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其他医疗卫生与计划生育支出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2109901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其他医疗卫生与计划生育支出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4.36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农林水支出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21307</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农村综合改革</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2130799</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其他农村综合改革支出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20.43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住房保障支出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住房改革支出</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930.73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930.72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2210201</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308" w:hRule="atLeast"/>
        </w:trPr>
        <w:tc>
          <w:tcPr>
            <w:tcW w:w="152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2210203</w:t>
            </w:r>
          </w:p>
        </w:tc>
        <w:tc>
          <w:tcPr>
            <w:tcW w:w="400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购房补贴</w:t>
            </w:r>
          </w:p>
        </w:tc>
        <w:tc>
          <w:tcPr>
            <w:tcW w:w="23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292.04 </w:t>
            </w:r>
          </w:p>
        </w:tc>
        <w:tc>
          <w:tcPr>
            <w:tcW w:w="228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292.03 </w:t>
            </w:r>
          </w:p>
        </w:tc>
        <w:tc>
          <w:tcPr>
            <w:tcW w:w="18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r>
      <w:tr>
        <w:tblPrEx>
          <w:tblLayout w:type="fixed"/>
          <w:tblCellMar>
            <w:top w:w="0" w:type="dxa"/>
            <w:left w:w="108" w:type="dxa"/>
            <w:bottom w:w="0" w:type="dxa"/>
            <w:right w:w="108" w:type="dxa"/>
          </w:tblCellMar>
        </w:tblPrEx>
        <w:trPr>
          <w:trHeight w:val="510" w:hRule="atLeast"/>
        </w:trPr>
        <w:tc>
          <w:tcPr>
            <w:tcW w:w="11980" w:type="dxa"/>
            <w:gridSpan w:val="7"/>
            <w:tcBorders>
              <w:top w:val="nil"/>
              <w:left w:val="nil"/>
              <w:bottom w:val="nil"/>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注：本表反映部门本年度一般公共预算财政拨款实际支出情况，数据取自财决</w:t>
            </w:r>
            <w:r>
              <w:rPr>
                <w:rFonts w:ascii="宋体" w:hAnsi="宋体" w:cs="宋体"/>
                <w:color w:val="000000"/>
                <w:kern w:val="0"/>
                <w:sz w:val="22"/>
                <w:szCs w:val="22"/>
              </w:rPr>
              <w:t>07</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rPr>
          <w:rFonts w:ascii="宋体"/>
          <w:b/>
          <w:bCs/>
          <w:color w:val="000000"/>
          <w:kern w:val="0"/>
          <w:sz w:val="44"/>
          <w:szCs w:val="44"/>
        </w:rPr>
      </w:pPr>
      <w:r>
        <w:rPr>
          <w:rFonts w:hint="eastAsia" w:ascii="宋体" w:hAnsi="宋体" w:cs="宋体"/>
          <w:b/>
          <w:bCs/>
          <w:color w:val="000000"/>
          <w:kern w:val="0"/>
          <w:sz w:val="44"/>
          <w:szCs w:val="44"/>
        </w:rPr>
        <w:t>一般公共预算财政拨款基本支出决算表</w:t>
      </w:r>
    </w:p>
    <w:tbl>
      <w:tblPr>
        <w:tblStyle w:val="6"/>
        <w:tblW w:w="11556" w:type="dxa"/>
        <w:tblInd w:w="-106" w:type="dxa"/>
        <w:tblLayout w:type="fixed"/>
        <w:tblCellMar>
          <w:top w:w="0" w:type="dxa"/>
          <w:left w:w="108" w:type="dxa"/>
          <w:bottom w:w="0" w:type="dxa"/>
          <w:right w:w="108" w:type="dxa"/>
        </w:tblCellMar>
      </w:tblPr>
      <w:tblGrid>
        <w:gridCol w:w="520"/>
        <w:gridCol w:w="236"/>
        <w:gridCol w:w="560"/>
        <w:gridCol w:w="4120"/>
        <w:gridCol w:w="2240"/>
        <w:gridCol w:w="2040"/>
        <w:gridCol w:w="1840"/>
      </w:tblGrid>
      <w:tr>
        <w:tblPrEx>
          <w:tblLayout w:type="fixed"/>
          <w:tblCellMar>
            <w:top w:w="0" w:type="dxa"/>
            <w:left w:w="108" w:type="dxa"/>
            <w:bottom w:w="0" w:type="dxa"/>
            <w:right w:w="108" w:type="dxa"/>
          </w:tblCellMar>
        </w:tblPrEx>
        <w:trPr>
          <w:trHeight w:val="285" w:hRule="atLeast"/>
        </w:trPr>
        <w:tc>
          <w:tcPr>
            <w:tcW w:w="520" w:type="dxa"/>
            <w:tcBorders>
              <w:top w:val="nil"/>
              <w:left w:val="nil"/>
              <w:bottom w:val="nil"/>
              <w:right w:val="nil"/>
            </w:tcBorders>
            <w:vAlign w:val="bottom"/>
          </w:tcPr>
          <w:p>
            <w:pPr>
              <w:widowControl/>
              <w:jc w:val="left"/>
              <w:rPr>
                <w:rFonts w:ascii="宋体"/>
                <w:color w:val="000000"/>
                <w:kern w:val="0"/>
                <w:sz w:val="22"/>
                <w:szCs w:val="22"/>
              </w:rPr>
            </w:pPr>
          </w:p>
        </w:tc>
        <w:tc>
          <w:tcPr>
            <w:tcW w:w="236" w:type="dxa"/>
            <w:tcBorders>
              <w:top w:val="nil"/>
              <w:left w:val="nil"/>
              <w:bottom w:val="nil"/>
              <w:right w:val="nil"/>
            </w:tcBorders>
            <w:vAlign w:val="bottom"/>
          </w:tcPr>
          <w:p>
            <w:pPr>
              <w:widowControl/>
              <w:jc w:val="left"/>
              <w:rPr>
                <w:rFonts w:ascii="宋体"/>
                <w:color w:val="000000"/>
                <w:kern w:val="0"/>
                <w:sz w:val="22"/>
                <w:szCs w:val="22"/>
              </w:rPr>
            </w:pPr>
          </w:p>
        </w:tc>
        <w:tc>
          <w:tcPr>
            <w:tcW w:w="560" w:type="dxa"/>
            <w:tcBorders>
              <w:top w:val="nil"/>
              <w:left w:val="nil"/>
              <w:bottom w:val="nil"/>
              <w:right w:val="nil"/>
            </w:tcBorders>
            <w:vAlign w:val="bottom"/>
          </w:tcPr>
          <w:p>
            <w:pPr>
              <w:widowControl/>
              <w:jc w:val="left"/>
              <w:rPr>
                <w:rFonts w:ascii="宋体"/>
                <w:color w:val="000000"/>
                <w:kern w:val="0"/>
                <w:sz w:val="22"/>
                <w:szCs w:val="22"/>
              </w:rPr>
            </w:pPr>
          </w:p>
        </w:tc>
        <w:tc>
          <w:tcPr>
            <w:tcW w:w="4120" w:type="dxa"/>
            <w:tcBorders>
              <w:top w:val="nil"/>
              <w:left w:val="nil"/>
              <w:bottom w:val="nil"/>
              <w:right w:val="nil"/>
            </w:tcBorders>
            <w:vAlign w:val="bottom"/>
          </w:tcPr>
          <w:p>
            <w:pPr>
              <w:widowControl/>
              <w:jc w:val="left"/>
              <w:rPr>
                <w:rFonts w:ascii="宋体"/>
                <w:color w:val="000000"/>
                <w:kern w:val="0"/>
                <w:sz w:val="22"/>
                <w:szCs w:val="22"/>
              </w:rPr>
            </w:pPr>
          </w:p>
        </w:tc>
        <w:tc>
          <w:tcPr>
            <w:tcW w:w="2240" w:type="dxa"/>
            <w:tcBorders>
              <w:top w:val="nil"/>
              <w:left w:val="nil"/>
              <w:bottom w:val="nil"/>
              <w:right w:val="nil"/>
            </w:tcBorders>
            <w:vAlign w:val="bottom"/>
          </w:tcPr>
          <w:p>
            <w:pPr>
              <w:widowControl/>
              <w:jc w:val="left"/>
              <w:rPr>
                <w:rFonts w:ascii="宋体"/>
                <w:color w:val="000000"/>
                <w:kern w:val="0"/>
                <w:sz w:val="22"/>
                <w:szCs w:val="22"/>
              </w:rPr>
            </w:pPr>
          </w:p>
        </w:tc>
        <w:tc>
          <w:tcPr>
            <w:tcW w:w="2040" w:type="dxa"/>
            <w:tcBorders>
              <w:top w:val="nil"/>
              <w:left w:val="nil"/>
              <w:bottom w:val="nil"/>
              <w:right w:val="nil"/>
            </w:tcBorders>
            <w:vAlign w:val="bottom"/>
          </w:tcPr>
          <w:p>
            <w:pPr>
              <w:widowControl/>
              <w:jc w:val="left"/>
              <w:rPr>
                <w:rFonts w:ascii="宋体"/>
                <w:color w:val="000000"/>
                <w:kern w:val="0"/>
                <w:sz w:val="22"/>
                <w:szCs w:val="22"/>
              </w:rPr>
            </w:pPr>
          </w:p>
        </w:tc>
        <w:tc>
          <w:tcPr>
            <w:tcW w:w="1840" w:type="dxa"/>
            <w:tcBorders>
              <w:top w:val="nil"/>
              <w:left w:val="nil"/>
              <w:bottom w:val="nil"/>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06</w:t>
            </w:r>
            <w:r>
              <w:rPr>
                <w:rFonts w:hint="eastAsia" w:ascii="宋体" w:hAnsi="宋体" w:cs="宋体"/>
                <w:color w:val="000000"/>
                <w:kern w:val="0"/>
                <w:sz w:val="22"/>
                <w:szCs w:val="22"/>
              </w:rPr>
              <w:t>表</w:t>
            </w:r>
          </w:p>
        </w:tc>
      </w:tr>
      <w:tr>
        <w:tblPrEx>
          <w:tblLayout w:type="fixed"/>
          <w:tblCellMar>
            <w:top w:w="0" w:type="dxa"/>
            <w:left w:w="108" w:type="dxa"/>
            <w:bottom w:w="0" w:type="dxa"/>
            <w:right w:w="108" w:type="dxa"/>
          </w:tblCellMar>
        </w:tblPrEx>
        <w:trPr>
          <w:trHeight w:val="285" w:hRule="atLeast"/>
        </w:trPr>
        <w:tc>
          <w:tcPr>
            <w:tcW w:w="7676" w:type="dxa"/>
            <w:gridSpan w:val="5"/>
            <w:tcBorders>
              <w:top w:val="nil"/>
              <w:left w:val="nil"/>
              <w:bottom w:val="single" w:color="auto" w:sz="4" w:space="0"/>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公开部门：宁夏回族自治区人民医院</w:t>
            </w:r>
          </w:p>
        </w:tc>
        <w:tc>
          <w:tcPr>
            <w:tcW w:w="3880" w:type="dxa"/>
            <w:gridSpan w:val="2"/>
            <w:tcBorders>
              <w:top w:val="nil"/>
              <w:left w:val="nil"/>
              <w:bottom w:val="single" w:color="auto" w:sz="4" w:space="0"/>
              <w:right w:val="nil"/>
            </w:tcBorders>
            <w:vAlign w:val="bottom"/>
          </w:tcPr>
          <w:p>
            <w:pPr>
              <w:widowControl/>
              <w:jc w:val="right"/>
              <w:rPr>
                <w:rFonts w:ascii="宋体"/>
                <w:color w:val="000000"/>
                <w:kern w:val="0"/>
                <w:sz w:val="22"/>
                <w:szCs w:val="22"/>
              </w:rPr>
            </w:pPr>
            <w:r>
              <w:rPr>
                <w:rFonts w:hint="eastAsia" w:ascii="宋体" w:hAnsi="宋体" w:cs="宋体"/>
                <w:color w:val="000000"/>
                <w:kern w:val="0"/>
                <w:sz w:val="22"/>
                <w:szCs w:val="22"/>
              </w:rPr>
              <w:t>金额单位：万元</w:t>
            </w:r>
          </w:p>
        </w:tc>
      </w:tr>
      <w:tr>
        <w:tblPrEx>
          <w:tblLayout w:type="fixed"/>
          <w:tblCellMar>
            <w:top w:w="0" w:type="dxa"/>
            <w:left w:w="108" w:type="dxa"/>
            <w:bottom w:w="0" w:type="dxa"/>
            <w:right w:w="108" w:type="dxa"/>
          </w:tblCellMar>
        </w:tblPrEx>
        <w:trPr>
          <w:trHeight w:val="405" w:hRule="atLeast"/>
        </w:trPr>
        <w:tc>
          <w:tcPr>
            <w:tcW w:w="5436"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22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本年支出合计</w:t>
            </w:r>
          </w:p>
        </w:tc>
        <w:tc>
          <w:tcPr>
            <w:tcW w:w="20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人员经费</w:t>
            </w:r>
          </w:p>
        </w:tc>
        <w:tc>
          <w:tcPr>
            <w:tcW w:w="18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公用经费</w:t>
            </w:r>
          </w:p>
        </w:tc>
      </w:tr>
      <w:tr>
        <w:tblPrEx>
          <w:tblLayout w:type="fixed"/>
          <w:tblCellMar>
            <w:top w:w="0" w:type="dxa"/>
            <w:left w:w="108" w:type="dxa"/>
            <w:bottom w:w="0" w:type="dxa"/>
            <w:right w:w="108" w:type="dxa"/>
          </w:tblCellMar>
        </w:tblPrEx>
        <w:trPr>
          <w:trHeight w:val="312" w:hRule="atLeast"/>
        </w:trPr>
        <w:tc>
          <w:tcPr>
            <w:tcW w:w="1316"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经济分类科目编码</w:t>
            </w:r>
          </w:p>
        </w:tc>
        <w:tc>
          <w:tcPr>
            <w:tcW w:w="412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科目名称</w:t>
            </w:r>
          </w:p>
        </w:tc>
        <w:tc>
          <w:tcPr>
            <w:tcW w:w="2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0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1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1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0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31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41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2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20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756" w:type="dxa"/>
            <w:gridSpan w:val="2"/>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类</w:t>
            </w:r>
          </w:p>
        </w:tc>
        <w:tc>
          <w:tcPr>
            <w:tcW w:w="56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款</w:t>
            </w:r>
          </w:p>
        </w:tc>
        <w:tc>
          <w:tcPr>
            <w:tcW w:w="41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22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20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8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r>
      <w:tr>
        <w:tblPrEx>
          <w:tblLayout w:type="fixed"/>
          <w:tblCellMar>
            <w:top w:w="0" w:type="dxa"/>
            <w:left w:w="108" w:type="dxa"/>
            <w:bottom w:w="0" w:type="dxa"/>
            <w:right w:w="108" w:type="dxa"/>
          </w:tblCellMar>
        </w:tblPrEx>
        <w:trPr>
          <w:trHeight w:val="308" w:hRule="atLeast"/>
        </w:trPr>
        <w:tc>
          <w:tcPr>
            <w:tcW w:w="756"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color w:val="000000"/>
                <w:kern w:val="0"/>
                <w:sz w:val="22"/>
                <w:szCs w:val="22"/>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olor w:val="000000"/>
                <w:kern w:val="0"/>
                <w:sz w:val="22"/>
                <w:szCs w:val="22"/>
              </w:rPr>
            </w:pPr>
          </w:p>
        </w:tc>
        <w:tc>
          <w:tcPr>
            <w:tcW w:w="412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7614.68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7614.68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auto"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工资福利支出</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5186.91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5186.91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30101</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2728.84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2728.84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30102</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140.18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140.18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30103</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455.76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455.76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30104</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537.38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537.38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30106</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30107</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30108</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946.25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30109</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378.50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30199</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对个人和家庭的补助</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2427.77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2427.77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30301</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112.27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112.27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30302</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1319.19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1319.19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30303</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30304</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58.58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58.58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30305</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0.97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0.97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30306</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30307</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30308</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30309</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30310</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生产补贴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30311</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638.69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30312</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提租补贴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30313</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购房补贴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292.04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292.04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30314</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采暖补贴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6.04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6.04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30315</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物业服务补贴</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316" w:type="dxa"/>
            <w:gridSpan w:val="3"/>
            <w:tcBorders>
              <w:top w:val="single" w:color="000000" w:sz="4" w:space="0"/>
              <w:left w:val="single" w:color="000000" w:sz="8" w:space="0"/>
              <w:bottom w:val="single" w:color="auto" w:sz="4" w:space="0"/>
              <w:right w:val="single" w:color="000000"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30399</w:t>
            </w:r>
          </w:p>
        </w:tc>
        <w:tc>
          <w:tcPr>
            <w:tcW w:w="4120"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其他对个人和家庭的补助支出</w:t>
            </w:r>
          </w:p>
        </w:tc>
        <w:tc>
          <w:tcPr>
            <w:tcW w:w="22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2040" w:type="dxa"/>
            <w:tcBorders>
              <w:top w:val="nil"/>
              <w:left w:val="nil"/>
              <w:bottom w:val="single" w:color="auto" w:sz="4" w:space="0"/>
              <w:right w:val="single" w:color="auto" w:sz="4" w:space="0"/>
            </w:tcBorders>
            <w:vAlign w:val="bottom"/>
          </w:tcPr>
          <w:p>
            <w:pPr>
              <w:widowControl/>
              <w:jc w:val="right"/>
              <w:rPr>
                <w:rFonts w:ascii="宋体"/>
                <w:color w:val="000000"/>
                <w:kern w:val="0"/>
                <w:sz w:val="22"/>
                <w:szCs w:val="22"/>
              </w:rPr>
            </w:pPr>
            <w:r>
              <w:rPr>
                <w:rFonts w:ascii="宋体" w:hAnsi="宋体" w:cs="宋体"/>
                <w:color w:val="000000"/>
                <w:kern w:val="0"/>
                <w:sz w:val="22"/>
                <w:szCs w:val="22"/>
              </w:rPr>
              <w:t xml:space="preserve">0.00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510" w:hRule="atLeast"/>
        </w:trPr>
        <w:tc>
          <w:tcPr>
            <w:tcW w:w="11556" w:type="dxa"/>
            <w:gridSpan w:val="7"/>
            <w:tcBorders>
              <w:top w:val="single" w:color="auto" w:sz="4" w:space="0"/>
              <w:left w:val="nil"/>
              <w:bottom w:val="nil"/>
              <w:right w:val="nil"/>
            </w:tcBorders>
            <w:vAlign w:val="bottom"/>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注：本表反映部门本年度一般公共预算财政拨款基本支出情况，按经济分类填列到款级科目，数据取自财决</w:t>
            </w:r>
            <w:r>
              <w:rPr>
                <w:rFonts w:ascii="宋体" w:hAnsi="宋体" w:cs="宋体"/>
                <w:color w:val="000000"/>
                <w:kern w:val="0"/>
                <w:sz w:val="22"/>
                <w:szCs w:val="22"/>
              </w:rPr>
              <w:t>08-1</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r>
        <w:rPr>
          <w:rFonts w:ascii="宋体" w:hAnsi="宋体" w:cs="宋体"/>
          <w:b/>
          <w:bCs/>
          <w:color w:val="000000"/>
          <w:kern w:val="0"/>
          <w:sz w:val="44"/>
          <w:szCs w:val="44"/>
        </w:rPr>
        <w:t xml:space="preserve"> </w:t>
      </w:r>
      <w:r>
        <w:rPr>
          <w:rFonts w:hint="eastAsia" w:ascii="宋体" w:hAnsi="宋体" w:cs="宋体"/>
          <w:b/>
          <w:bCs/>
          <w:color w:val="000000"/>
          <w:kern w:val="0"/>
          <w:sz w:val="44"/>
          <w:szCs w:val="44"/>
        </w:rPr>
        <w:t>“三公”经费支出决算表</w:t>
      </w:r>
    </w:p>
    <w:tbl>
      <w:tblPr>
        <w:tblStyle w:val="6"/>
        <w:tblW w:w="14105" w:type="dxa"/>
        <w:tblInd w:w="-106" w:type="dxa"/>
        <w:tblLayout w:type="fixed"/>
        <w:tblCellMar>
          <w:top w:w="0" w:type="dxa"/>
          <w:left w:w="108" w:type="dxa"/>
          <w:bottom w:w="0" w:type="dxa"/>
          <w:right w:w="108" w:type="dxa"/>
        </w:tblCellMar>
      </w:tblPr>
      <w:tblGrid>
        <w:gridCol w:w="1420"/>
        <w:gridCol w:w="1020"/>
        <w:gridCol w:w="1240"/>
        <w:gridCol w:w="1020"/>
        <w:gridCol w:w="980"/>
        <w:gridCol w:w="1020"/>
        <w:gridCol w:w="900"/>
        <w:gridCol w:w="1160"/>
        <w:gridCol w:w="1020"/>
        <w:gridCol w:w="1160"/>
        <w:gridCol w:w="1000"/>
        <w:gridCol w:w="1165"/>
        <w:gridCol w:w="1000"/>
      </w:tblGrid>
      <w:tr>
        <w:tblPrEx>
          <w:tblLayout w:type="fixed"/>
          <w:tblCellMar>
            <w:top w:w="0" w:type="dxa"/>
            <w:left w:w="108" w:type="dxa"/>
            <w:bottom w:w="0" w:type="dxa"/>
            <w:right w:w="108" w:type="dxa"/>
          </w:tblCellMar>
        </w:tblPrEx>
        <w:trPr>
          <w:trHeight w:val="255" w:hRule="atLeast"/>
        </w:trPr>
        <w:tc>
          <w:tcPr>
            <w:tcW w:w="1420" w:type="dxa"/>
            <w:tcBorders>
              <w:top w:val="nil"/>
              <w:left w:val="nil"/>
              <w:bottom w:val="nil"/>
              <w:right w:val="nil"/>
            </w:tcBorders>
            <w:vAlign w:val="center"/>
          </w:tcPr>
          <w:p>
            <w:pPr>
              <w:rPr>
                <w:rFonts w:ascii="宋体"/>
                <w:sz w:val="20"/>
                <w:szCs w:val="20"/>
              </w:rPr>
            </w:pPr>
          </w:p>
        </w:tc>
        <w:tc>
          <w:tcPr>
            <w:tcW w:w="1020" w:type="dxa"/>
            <w:tcBorders>
              <w:top w:val="nil"/>
              <w:left w:val="nil"/>
              <w:bottom w:val="nil"/>
              <w:right w:val="nil"/>
            </w:tcBorders>
            <w:vAlign w:val="center"/>
          </w:tcPr>
          <w:p>
            <w:pPr>
              <w:rPr>
                <w:rFonts w:ascii="Arial" w:hAnsi="Arial" w:cs="Arial"/>
                <w:color w:val="000000"/>
                <w:sz w:val="20"/>
                <w:szCs w:val="20"/>
              </w:rPr>
            </w:pPr>
          </w:p>
        </w:tc>
        <w:tc>
          <w:tcPr>
            <w:tcW w:w="1240" w:type="dxa"/>
            <w:tcBorders>
              <w:top w:val="nil"/>
              <w:left w:val="nil"/>
              <w:bottom w:val="nil"/>
              <w:right w:val="nil"/>
            </w:tcBorders>
            <w:vAlign w:val="center"/>
          </w:tcPr>
          <w:p>
            <w:pPr>
              <w:rPr>
                <w:rFonts w:ascii="Arial" w:hAnsi="Arial" w:cs="Arial"/>
                <w:color w:val="000000"/>
                <w:sz w:val="20"/>
                <w:szCs w:val="20"/>
              </w:rPr>
            </w:pPr>
          </w:p>
        </w:tc>
        <w:tc>
          <w:tcPr>
            <w:tcW w:w="1020" w:type="dxa"/>
            <w:tcBorders>
              <w:top w:val="nil"/>
              <w:left w:val="nil"/>
              <w:bottom w:val="nil"/>
              <w:right w:val="nil"/>
            </w:tcBorders>
            <w:vAlign w:val="center"/>
          </w:tcPr>
          <w:p>
            <w:pPr>
              <w:rPr>
                <w:rFonts w:ascii="Arial" w:hAnsi="Arial" w:cs="Arial"/>
                <w:color w:val="000000"/>
                <w:sz w:val="20"/>
                <w:szCs w:val="20"/>
              </w:rPr>
            </w:pPr>
          </w:p>
        </w:tc>
        <w:tc>
          <w:tcPr>
            <w:tcW w:w="980" w:type="dxa"/>
            <w:tcBorders>
              <w:top w:val="nil"/>
              <w:left w:val="nil"/>
              <w:bottom w:val="nil"/>
              <w:right w:val="nil"/>
            </w:tcBorders>
            <w:vAlign w:val="center"/>
          </w:tcPr>
          <w:p>
            <w:pPr>
              <w:rPr>
                <w:rFonts w:ascii="Arial" w:hAnsi="Arial" w:cs="Arial"/>
                <w:color w:val="000000"/>
                <w:sz w:val="20"/>
                <w:szCs w:val="20"/>
              </w:rPr>
            </w:pPr>
          </w:p>
        </w:tc>
        <w:tc>
          <w:tcPr>
            <w:tcW w:w="1020" w:type="dxa"/>
            <w:tcBorders>
              <w:top w:val="nil"/>
              <w:left w:val="nil"/>
              <w:bottom w:val="nil"/>
              <w:right w:val="nil"/>
            </w:tcBorders>
            <w:vAlign w:val="center"/>
          </w:tcPr>
          <w:p>
            <w:pPr>
              <w:rPr>
                <w:rFonts w:ascii="Arial" w:hAnsi="Arial" w:cs="Arial"/>
                <w:color w:val="000000"/>
                <w:sz w:val="20"/>
                <w:szCs w:val="20"/>
              </w:rPr>
            </w:pPr>
          </w:p>
        </w:tc>
        <w:tc>
          <w:tcPr>
            <w:tcW w:w="900" w:type="dxa"/>
            <w:tcBorders>
              <w:top w:val="nil"/>
              <w:left w:val="nil"/>
              <w:bottom w:val="nil"/>
              <w:right w:val="nil"/>
            </w:tcBorders>
            <w:vAlign w:val="center"/>
          </w:tcPr>
          <w:p>
            <w:pPr>
              <w:rPr>
                <w:rFonts w:ascii="Arial" w:hAnsi="Arial" w:cs="Arial"/>
                <w:color w:val="000000"/>
                <w:sz w:val="20"/>
                <w:szCs w:val="20"/>
              </w:rPr>
            </w:pPr>
          </w:p>
        </w:tc>
        <w:tc>
          <w:tcPr>
            <w:tcW w:w="1160" w:type="dxa"/>
            <w:tcBorders>
              <w:top w:val="nil"/>
              <w:left w:val="nil"/>
              <w:bottom w:val="nil"/>
              <w:right w:val="nil"/>
            </w:tcBorders>
            <w:vAlign w:val="center"/>
          </w:tcPr>
          <w:p>
            <w:pPr>
              <w:rPr>
                <w:rFonts w:ascii="Arial" w:hAnsi="Arial" w:cs="Arial"/>
                <w:color w:val="000000"/>
                <w:sz w:val="20"/>
                <w:szCs w:val="20"/>
              </w:rPr>
            </w:pPr>
          </w:p>
        </w:tc>
        <w:tc>
          <w:tcPr>
            <w:tcW w:w="1020" w:type="dxa"/>
            <w:tcBorders>
              <w:top w:val="nil"/>
              <w:left w:val="nil"/>
              <w:bottom w:val="nil"/>
              <w:right w:val="nil"/>
            </w:tcBorders>
            <w:vAlign w:val="center"/>
          </w:tcPr>
          <w:p>
            <w:pPr>
              <w:rPr>
                <w:rFonts w:ascii="Arial" w:hAnsi="Arial" w:cs="Arial"/>
                <w:color w:val="000000"/>
                <w:sz w:val="20"/>
                <w:szCs w:val="20"/>
              </w:rPr>
            </w:pPr>
          </w:p>
        </w:tc>
        <w:tc>
          <w:tcPr>
            <w:tcW w:w="1160" w:type="dxa"/>
            <w:tcBorders>
              <w:top w:val="nil"/>
              <w:left w:val="nil"/>
              <w:bottom w:val="nil"/>
              <w:right w:val="nil"/>
            </w:tcBorders>
            <w:vAlign w:val="center"/>
          </w:tcPr>
          <w:p>
            <w:pPr>
              <w:rPr>
                <w:rFonts w:ascii="Arial" w:hAnsi="Arial" w:cs="Arial"/>
                <w:color w:val="000000"/>
                <w:sz w:val="20"/>
                <w:szCs w:val="20"/>
              </w:rPr>
            </w:pPr>
          </w:p>
        </w:tc>
        <w:tc>
          <w:tcPr>
            <w:tcW w:w="1000" w:type="dxa"/>
            <w:tcBorders>
              <w:top w:val="nil"/>
              <w:left w:val="nil"/>
              <w:bottom w:val="nil"/>
              <w:right w:val="nil"/>
            </w:tcBorders>
            <w:vAlign w:val="center"/>
          </w:tcPr>
          <w:p>
            <w:pPr>
              <w:rPr>
                <w:rFonts w:ascii="Arial" w:hAnsi="Arial" w:cs="Arial"/>
                <w:color w:val="000000"/>
                <w:sz w:val="20"/>
                <w:szCs w:val="20"/>
              </w:rPr>
            </w:pPr>
          </w:p>
        </w:tc>
        <w:tc>
          <w:tcPr>
            <w:tcW w:w="2165" w:type="dxa"/>
            <w:gridSpan w:val="2"/>
            <w:tcBorders>
              <w:top w:val="nil"/>
              <w:left w:val="nil"/>
              <w:bottom w:val="nil"/>
              <w:right w:val="nil"/>
            </w:tcBorders>
            <w:vAlign w:val="center"/>
          </w:tcPr>
          <w:p>
            <w:pPr>
              <w:jc w:val="right"/>
              <w:rPr>
                <w:rFonts w:ascii="宋体"/>
                <w:color w:val="000000"/>
                <w:sz w:val="20"/>
                <w:szCs w:val="20"/>
              </w:rPr>
            </w:pPr>
            <w:r>
              <w:rPr>
                <w:rFonts w:hint="eastAsia" w:cs="宋体"/>
                <w:color w:val="000000"/>
                <w:sz w:val="20"/>
                <w:szCs w:val="20"/>
              </w:rPr>
              <w:t>公开</w:t>
            </w:r>
            <w:r>
              <w:rPr>
                <w:color w:val="000000"/>
                <w:sz w:val="20"/>
                <w:szCs w:val="20"/>
              </w:rPr>
              <w:t>07</w:t>
            </w:r>
            <w:r>
              <w:rPr>
                <w:rFonts w:hint="eastAsia" w:cs="宋体"/>
                <w:color w:val="000000"/>
                <w:sz w:val="20"/>
                <w:szCs w:val="20"/>
              </w:rPr>
              <w:t>表</w:t>
            </w:r>
          </w:p>
        </w:tc>
      </w:tr>
      <w:tr>
        <w:tblPrEx>
          <w:tblLayout w:type="fixed"/>
          <w:tblCellMar>
            <w:top w:w="0" w:type="dxa"/>
            <w:left w:w="108" w:type="dxa"/>
            <w:bottom w:w="0" w:type="dxa"/>
            <w:right w:w="108" w:type="dxa"/>
          </w:tblCellMar>
        </w:tblPrEx>
        <w:trPr>
          <w:trHeight w:val="255" w:hRule="atLeast"/>
        </w:trPr>
        <w:tc>
          <w:tcPr>
            <w:tcW w:w="7600" w:type="dxa"/>
            <w:gridSpan w:val="7"/>
            <w:tcBorders>
              <w:top w:val="nil"/>
              <w:left w:val="nil"/>
              <w:bottom w:val="single" w:color="auto" w:sz="4" w:space="0"/>
              <w:right w:val="nil"/>
            </w:tcBorders>
            <w:vAlign w:val="center"/>
          </w:tcPr>
          <w:p>
            <w:pPr>
              <w:rPr>
                <w:rFonts w:ascii="宋体"/>
                <w:color w:val="000000"/>
                <w:sz w:val="20"/>
                <w:szCs w:val="20"/>
              </w:rPr>
            </w:pPr>
            <w:r>
              <w:rPr>
                <w:rFonts w:hint="eastAsia" w:cs="宋体"/>
                <w:color w:val="000000"/>
                <w:sz w:val="20"/>
                <w:szCs w:val="20"/>
              </w:rPr>
              <w:t>公开部门：宁夏回族自治区人民医院</w:t>
            </w:r>
          </w:p>
        </w:tc>
        <w:tc>
          <w:tcPr>
            <w:tcW w:w="1160" w:type="dxa"/>
            <w:tcBorders>
              <w:top w:val="nil"/>
              <w:left w:val="nil"/>
              <w:bottom w:val="nil"/>
              <w:right w:val="nil"/>
            </w:tcBorders>
            <w:vAlign w:val="center"/>
          </w:tcPr>
          <w:p>
            <w:pPr>
              <w:rPr>
                <w:rFonts w:ascii="Arial" w:hAnsi="Arial" w:cs="Arial"/>
                <w:color w:val="000000"/>
                <w:sz w:val="20"/>
                <w:szCs w:val="20"/>
              </w:rPr>
            </w:pPr>
          </w:p>
        </w:tc>
        <w:tc>
          <w:tcPr>
            <w:tcW w:w="1020" w:type="dxa"/>
            <w:tcBorders>
              <w:top w:val="nil"/>
              <w:left w:val="nil"/>
              <w:bottom w:val="nil"/>
              <w:right w:val="nil"/>
            </w:tcBorders>
            <w:vAlign w:val="center"/>
          </w:tcPr>
          <w:p>
            <w:pPr>
              <w:rPr>
                <w:rFonts w:ascii="Arial" w:hAnsi="Arial" w:cs="Arial"/>
                <w:color w:val="000000"/>
                <w:sz w:val="20"/>
                <w:szCs w:val="20"/>
              </w:rPr>
            </w:pPr>
          </w:p>
        </w:tc>
        <w:tc>
          <w:tcPr>
            <w:tcW w:w="1160" w:type="dxa"/>
            <w:tcBorders>
              <w:top w:val="nil"/>
              <w:left w:val="nil"/>
              <w:bottom w:val="nil"/>
              <w:right w:val="nil"/>
            </w:tcBorders>
            <w:vAlign w:val="center"/>
          </w:tcPr>
          <w:p>
            <w:pPr>
              <w:rPr>
                <w:rFonts w:ascii="Arial" w:hAnsi="Arial" w:cs="Arial"/>
                <w:color w:val="000000"/>
                <w:sz w:val="20"/>
                <w:szCs w:val="20"/>
              </w:rPr>
            </w:pPr>
          </w:p>
        </w:tc>
        <w:tc>
          <w:tcPr>
            <w:tcW w:w="3165" w:type="dxa"/>
            <w:gridSpan w:val="3"/>
            <w:tcBorders>
              <w:top w:val="nil"/>
              <w:left w:val="nil"/>
              <w:bottom w:val="nil"/>
              <w:right w:val="nil"/>
            </w:tcBorders>
            <w:vAlign w:val="center"/>
          </w:tcPr>
          <w:p>
            <w:pPr>
              <w:jc w:val="right"/>
              <w:rPr>
                <w:rFonts w:ascii="宋体"/>
                <w:color w:val="000000"/>
                <w:sz w:val="20"/>
                <w:szCs w:val="20"/>
              </w:rPr>
            </w:pPr>
            <w:r>
              <w:rPr>
                <w:rFonts w:hint="eastAsia" w:cs="宋体"/>
                <w:color w:val="000000"/>
                <w:sz w:val="20"/>
                <w:szCs w:val="20"/>
              </w:rPr>
              <w:t>金额单位：万元</w:t>
            </w:r>
          </w:p>
        </w:tc>
      </w:tr>
      <w:tr>
        <w:tblPrEx>
          <w:tblLayout w:type="fixed"/>
          <w:tblCellMar>
            <w:top w:w="0" w:type="dxa"/>
            <w:left w:w="108" w:type="dxa"/>
            <w:bottom w:w="0" w:type="dxa"/>
            <w:right w:w="108" w:type="dxa"/>
          </w:tblCellMar>
        </w:tblPrEx>
        <w:trPr>
          <w:trHeight w:val="570" w:hRule="atLeast"/>
        </w:trPr>
        <w:tc>
          <w:tcPr>
            <w:tcW w:w="760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2016</w:t>
            </w:r>
            <w:r>
              <w:rPr>
                <w:rFonts w:hint="eastAsia" w:cs="宋体"/>
                <w:color w:val="000000"/>
                <w:sz w:val="20"/>
                <w:szCs w:val="20"/>
              </w:rPr>
              <w:t>年度预算数</w:t>
            </w:r>
          </w:p>
        </w:tc>
        <w:tc>
          <w:tcPr>
            <w:tcW w:w="6505" w:type="dxa"/>
            <w:gridSpan w:val="6"/>
            <w:tcBorders>
              <w:top w:val="single" w:color="auto" w:sz="4" w:space="0"/>
              <w:left w:val="nil"/>
              <w:bottom w:val="single" w:color="auto" w:sz="4" w:space="0"/>
              <w:right w:val="single" w:color="000000" w:sz="4" w:space="0"/>
            </w:tcBorders>
            <w:vAlign w:val="center"/>
          </w:tcPr>
          <w:p>
            <w:pPr>
              <w:jc w:val="center"/>
              <w:rPr>
                <w:rFonts w:ascii="宋体"/>
                <w:color w:val="000000"/>
                <w:sz w:val="20"/>
                <w:szCs w:val="20"/>
              </w:rPr>
            </w:pPr>
            <w:r>
              <w:rPr>
                <w:color w:val="000000"/>
                <w:sz w:val="20"/>
                <w:szCs w:val="20"/>
              </w:rPr>
              <w:t>2016</w:t>
            </w:r>
            <w:r>
              <w:rPr>
                <w:rFonts w:hint="eastAsia" w:cs="宋体"/>
                <w:color w:val="000000"/>
                <w:sz w:val="20"/>
                <w:szCs w:val="20"/>
              </w:rPr>
              <w:t>年度支出数</w:t>
            </w:r>
          </w:p>
        </w:tc>
      </w:tr>
      <w:tr>
        <w:tblPrEx>
          <w:tblLayout w:type="fixed"/>
          <w:tblCellMar>
            <w:top w:w="0" w:type="dxa"/>
            <w:left w:w="108" w:type="dxa"/>
            <w:bottom w:w="0" w:type="dxa"/>
            <w:right w:w="108" w:type="dxa"/>
          </w:tblCellMar>
        </w:tblPrEx>
        <w:trPr>
          <w:trHeight w:val="450" w:hRule="atLeast"/>
        </w:trPr>
        <w:tc>
          <w:tcPr>
            <w:tcW w:w="1420" w:type="dxa"/>
            <w:vMerge w:val="restart"/>
            <w:tcBorders>
              <w:top w:val="nil"/>
              <w:left w:val="single" w:color="auto" w:sz="4" w:space="0"/>
              <w:bottom w:val="single" w:color="000000"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资金来源</w:t>
            </w:r>
          </w:p>
        </w:tc>
        <w:tc>
          <w:tcPr>
            <w:tcW w:w="102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合计</w:t>
            </w:r>
          </w:p>
        </w:tc>
        <w:tc>
          <w:tcPr>
            <w:tcW w:w="124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因公出国（境）费</w:t>
            </w:r>
          </w:p>
        </w:tc>
        <w:tc>
          <w:tcPr>
            <w:tcW w:w="3020" w:type="dxa"/>
            <w:gridSpan w:val="3"/>
            <w:tcBorders>
              <w:top w:val="single" w:color="auto" w:sz="4" w:space="0"/>
              <w:left w:val="nil"/>
              <w:bottom w:val="single" w:color="auto" w:sz="4" w:space="0"/>
              <w:right w:val="single" w:color="000000" w:sz="4" w:space="0"/>
            </w:tcBorders>
            <w:vAlign w:val="center"/>
          </w:tcPr>
          <w:p>
            <w:pPr>
              <w:jc w:val="center"/>
              <w:rPr>
                <w:rFonts w:ascii="宋体"/>
                <w:color w:val="000000"/>
                <w:sz w:val="20"/>
                <w:szCs w:val="20"/>
              </w:rPr>
            </w:pPr>
            <w:r>
              <w:rPr>
                <w:rFonts w:hint="eastAsia" w:cs="宋体"/>
                <w:color w:val="000000"/>
                <w:sz w:val="20"/>
                <w:szCs w:val="20"/>
              </w:rPr>
              <w:t>公务用车购置及运行费</w:t>
            </w:r>
          </w:p>
        </w:tc>
        <w:tc>
          <w:tcPr>
            <w:tcW w:w="90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公务接待费</w:t>
            </w:r>
          </w:p>
        </w:tc>
        <w:tc>
          <w:tcPr>
            <w:tcW w:w="116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合计</w:t>
            </w:r>
          </w:p>
        </w:tc>
        <w:tc>
          <w:tcPr>
            <w:tcW w:w="102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应公出国（境）费</w:t>
            </w:r>
          </w:p>
        </w:tc>
        <w:tc>
          <w:tcPr>
            <w:tcW w:w="3325" w:type="dxa"/>
            <w:gridSpan w:val="3"/>
            <w:tcBorders>
              <w:top w:val="single" w:color="auto" w:sz="4" w:space="0"/>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公务用车购置及运行费</w:t>
            </w:r>
          </w:p>
        </w:tc>
        <w:tc>
          <w:tcPr>
            <w:tcW w:w="100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公务接待费</w:t>
            </w:r>
          </w:p>
        </w:tc>
      </w:tr>
      <w:tr>
        <w:tblPrEx>
          <w:tblLayout w:type="fixed"/>
          <w:tblCellMar>
            <w:top w:w="0" w:type="dxa"/>
            <w:left w:w="108" w:type="dxa"/>
            <w:bottom w:w="0" w:type="dxa"/>
            <w:right w:w="108" w:type="dxa"/>
          </w:tblCellMar>
        </w:tblPrEx>
        <w:trPr>
          <w:trHeight w:val="480" w:hRule="atLeast"/>
        </w:trPr>
        <w:tc>
          <w:tcPr>
            <w:tcW w:w="1420" w:type="dxa"/>
            <w:vMerge w:val="continue"/>
            <w:tcBorders>
              <w:top w:val="nil"/>
              <w:left w:val="single" w:color="auto" w:sz="4" w:space="0"/>
              <w:bottom w:val="single" w:color="000000" w:sz="4" w:space="0"/>
              <w:right w:val="single" w:color="auto" w:sz="4" w:space="0"/>
            </w:tcBorders>
            <w:vAlign w:val="center"/>
          </w:tcPr>
          <w:p>
            <w:pPr>
              <w:rPr>
                <w:rFonts w:ascii="宋体"/>
                <w:color w:val="000000"/>
                <w:sz w:val="20"/>
                <w:szCs w:val="20"/>
              </w:rPr>
            </w:pPr>
          </w:p>
        </w:tc>
        <w:tc>
          <w:tcPr>
            <w:tcW w:w="102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24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小计</w:t>
            </w:r>
          </w:p>
        </w:tc>
        <w:tc>
          <w:tcPr>
            <w:tcW w:w="98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公务用车购置费</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公务用车运行费</w:t>
            </w:r>
          </w:p>
        </w:tc>
        <w:tc>
          <w:tcPr>
            <w:tcW w:w="90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16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02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16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小计</w:t>
            </w:r>
          </w:p>
        </w:tc>
        <w:tc>
          <w:tcPr>
            <w:tcW w:w="100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公务用车购置费</w:t>
            </w:r>
          </w:p>
        </w:tc>
        <w:tc>
          <w:tcPr>
            <w:tcW w:w="1165" w:type="dxa"/>
            <w:tcBorders>
              <w:top w:val="nil"/>
              <w:left w:val="nil"/>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公务用车运行费</w:t>
            </w:r>
          </w:p>
        </w:tc>
        <w:tc>
          <w:tcPr>
            <w:tcW w:w="100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r>
      <w:tr>
        <w:tblPrEx>
          <w:tblLayout w:type="fixed"/>
          <w:tblCellMar>
            <w:top w:w="0" w:type="dxa"/>
            <w:left w:w="108" w:type="dxa"/>
            <w:bottom w:w="0" w:type="dxa"/>
            <w:right w:w="108" w:type="dxa"/>
          </w:tblCellMar>
        </w:tblPrEx>
        <w:trPr>
          <w:trHeight w:val="570" w:hRule="atLeast"/>
        </w:trPr>
        <w:tc>
          <w:tcPr>
            <w:tcW w:w="1420" w:type="dxa"/>
            <w:vMerge w:val="continue"/>
            <w:tcBorders>
              <w:top w:val="nil"/>
              <w:left w:val="single" w:color="auto" w:sz="4" w:space="0"/>
              <w:bottom w:val="single" w:color="000000" w:sz="4" w:space="0"/>
              <w:right w:val="single" w:color="auto" w:sz="4" w:space="0"/>
            </w:tcBorders>
            <w:vAlign w:val="center"/>
          </w:tcPr>
          <w:p>
            <w:pPr>
              <w:rPr>
                <w:rFonts w:ascii="宋体"/>
                <w:color w:val="000000"/>
                <w:sz w:val="20"/>
                <w:szCs w:val="20"/>
              </w:rPr>
            </w:pP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1</w:t>
            </w:r>
          </w:p>
        </w:tc>
        <w:tc>
          <w:tcPr>
            <w:tcW w:w="124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2</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3</w:t>
            </w:r>
          </w:p>
        </w:tc>
        <w:tc>
          <w:tcPr>
            <w:tcW w:w="98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4</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5</w:t>
            </w:r>
          </w:p>
        </w:tc>
        <w:tc>
          <w:tcPr>
            <w:tcW w:w="90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6</w:t>
            </w:r>
          </w:p>
        </w:tc>
        <w:tc>
          <w:tcPr>
            <w:tcW w:w="116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7</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8</w:t>
            </w:r>
          </w:p>
        </w:tc>
        <w:tc>
          <w:tcPr>
            <w:tcW w:w="116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9</w:t>
            </w:r>
          </w:p>
        </w:tc>
        <w:tc>
          <w:tcPr>
            <w:tcW w:w="100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10</w:t>
            </w:r>
          </w:p>
        </w:tc>
        <w:tc>
          <w:tcPr>
            <w:tcW w:w="1165"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11</w:t>
            </w:r>
          </w:p>
        </w:tc>
        <w:tc>
          <w:tcPr>
            <w:tcW w:w="100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12</w:t>
            </w:r>
          </w:p>
        </w:tc>
      </w:tr>
      <w:tr>
        <w:tblPrEx>
          <w:tblLayout w:type="fixed"/>
          <w:tblCellMar>
            <w:top w:w="0" w:type="dxa"/>
            <w:left w:w="108" w:type="dxa"/>
            <w:bottom w:w="0" w:type="dxa"/>
            <w:right w:w="108" w:type="dxa"/>
          </w:tblCellMar>
        </w:tblPrEx>
        <w:trPr>
          <w:trHeight w:val="570" w:hRule="atLeast"/>
        </w:trPr>
        <w:tc>
          <w:tcPr>
            <w:tcW w:w="1420" w:type="dxa"/>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自筹资金</w:t>
            </w:r>
          </w:p>
        </w:tc>
        <w:tc>
          <w:tcPr>
            <w:tcW w:w="102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503.00 </w:t>
            </w:r>
          </w:p>
        </w:tc>
        <w:tc>
          <w:tcPr>
            <w:tcW w:w="124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13.00 </w:t>
            </w:r>
          </w:p>
        </w:tc>
        <w:tc>
          <w:tcPr>
            <w:tcW w:w="102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470.00 </w:t>
            </w:r>
          </w:p>
        </w:tc>
        <w:tc>
          <w:tcPr>
            <w:tcW w:w="98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0.00 </w:t>
            </w:r>
          </w:p>
        </w:tc>
        <w:tc>
          <w:tcPr>
            <w:tcW w:w="102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470.00 </w:t>
            </w:r>
          </w:p>
        </w:tc>
        <w:tc>
          <w:tcPr>
            <w:tcW w:w="900" w:type="dxa"/>
            <w:vMerge w:val="restart"/>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20.00 </w:t>
            </w: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159.57 </w:t>
            </w:r>
          </w:p>
        </w:tc>
        <w:tc>
          <w:tcPr>
            <w:tcW w:w="102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48.92 </w:t>
            </w: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107.21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0.00 </w:t>
            </w:r>
          </w:p>
        </w:tc>
        <w:tc>
          <w:tcPr>
            <w:tcW w:w="1165"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107.21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3.44 </w:t>
            </w:r>
          </w:p>
        </w:tc>
      </w:tr>
      <w:tr>
        <w:tblPrEx>
          <w:tblLayout w:type="fixed"/>
          <w:tblCellMar>
            <w:top w:w="0" w:type="dxa"/>
            <w:left w:w="108" w:type="dxa"/>
            <w:bottom w:w="0" w:type="dxa"/>
            <w:right w:w="108" w:type="dxa"/>
          </w:tblCellMar>
        </w:tblPrEx>
        <w:trPr>
          <w:trHeight w:val="570" w:hRule="atLeast"/>
        </w:trPr>
        <w:tc>
          <w:tcPr>
            <w:tcW w:w="1420" w:type="dxa"/>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财政专项拨款</w:t>
            </w:r>
          </w:p>
        </w:tc>
        <w:tc>
          <w:tcPr>
            <w:tcW w:w="102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24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02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98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02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900" w:type="dxa"/>
            <w:vMerge w:val="continue"/>
            <w:tcBorders>
              <w:top w:val="nil"/>
              <w:left w:val="single" w:color="auto" w:sz="4" w:space="0"/>
              <w:bottom w:val="single" w:color="auto" w:sz="4" w:space="0"/>
              <w:right w:val="single" w:color="auto" w:sz="4" w:space="0"/>
            </w:tcBorders>
            <w:vAlign w:val="center"/>
          </w:tcPr>
          <w:p>
            <w:pPr>
              <w:rPr>
                <w:rFonts w:ascii="宋体"/>
                <w:color w:val="000000"/>
                <w:sz w:val="20"/>
                <w:szCs w:val="20"/>
              </w:rPr>
            </w:pP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3.83 </w:t>
            </w:r>
          </w:p>
        </w:tc>
        <w:tc>
          <w:tcPr>
            <w:tcW w:w="102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0.00 </w:t>
            </w: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3.16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0.00 </w:t>
            </w:r>
          </w:p>
        </w:tc>
        <w:tc>
          <w:tcPr>
            <w:tcW w:w="1165"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3.16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0.67 </w:t>
            </w:r>
          </w:p>
        </w:tc>
      </w:tr>
      <w:tr>
        <w:tblPrEx>
          <w:tblLayout w:type="fixed"/>
          <w:tblCellMar>
            <w:top w:w="0" w:type="dxa"/>
            <w:left w:w="108" w:type="dxa"/>
            <w:bottom w:w="0" w:type="dxa"/>
            <w:right w:w="108" w:type="dxa"/>
          </w:tblCellMar>
        </w:tblPrEx>
        <w:trPr>
          <w:trHeight w:val="570" w:hRule="atLeast"/>
        </w:trPr>
        <w:tc>
          <w:tcPr>
            <w:tcW w:w="1420" w:type="dxa"/>
            <w:tcBorders>
              <w:top w:val="nil"/>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合计</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503.00 </w:t>
            </w:r>
          </w:p>
        </w:tc>
        <w:tc>
          <w:tcPr>
            <w:tcW w:w="124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13.00 </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470.00 </w:t>
            </w:r>
          </w:p>
        </w:tc>
        <w:tc>
          <w:tcPr>
            <w:tcW w:w="98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0.00 </w:t>
            </w:r>
          </w:p>
        </w:tc>
        <w:tc>
          <w:tcPr>
            <w:tcW w:w="102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470.00 </w:t>
            </w:r>
          </w:p>
        </w:tc>
        <w:tc>
          <w:tcPr>
            <w:tcW w:w="900" w:type="dxa"/>
            <w:tcBorders>
              <w:top w:val="nil"/>
              <w:left w:val="nil"/>
              <w:bottom w:val="single" w:color="auto" w:sz="4" w:space="0"/>
              <w:right w:val="single" w:color="auto" w:sz="4" w:space="0"/>
            </w:tcBorders>
            <w:vAlign w:val="center"/>
          </w:tcPr>
          <w:p>
            <w:pPr>
              <w:jc w:val="center"/>
              <w:rPr>
                <w:rFonts w:ascii="宋体"/>
                <w:color w:val="000000"/>
                <w:sz w:val="20"/>
                <w:szCs w:val="20"/>
              </w:rPr>
            </w:pPr>
            <w:r>
              <w:rPr>
                <w:color w:val="000000"/>
                <w:sz w:val="20"/>
                <w:szCs w:val="20"/>
              </w:rPr>
              <w:t xml:space="preserve"> 20.00 </w:t>
            </w: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163.40 </w:t>
            </w:r>
          </w:p>
        </w:tc>
        <w:tc>
          <w:tcPr>
            <w:tcW w:w="102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48.92 </w:t>
            </w:r>
          </w:p>
        </w:tc>
        <w:tc>
          <w:tcPr>
            <w:tcW w:w="116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110.37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0.00 </w:t>
            </w:r>
          </w:p>
        </w:tc>
        <w:tc>
          <w:tcPr>
            <w:tcW w:w="1165"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110.37 </w:t>
            </w:r>
          </w:p>
        </w:tc>
        <w:tc>
          <w:tcPr>
            <w:tcW w:w="1000" w:type="dxa"/>
            <w:tcBorders>
              <w:top w:val="nil"/>
              <w:left w:val="nil"/>
              <w:bottom w:val="single" w:color="auto" w:sz="4" w:space="0"/>
              <w:right w:val="single" w:color="auto" w:sz="4" w:space="0"/>
            </w:tcBorders>
            <w:vAlign w:val="center"/>
          </w:tcPr>
          <w:p>
            <w:pPr>
              <w:jc w:val="right"/>
              <w:rPr>
                <w:rFonts w:ascii="宋体"/>
                <w:color w:val="000000"/>
                <w:sz w:val="20"/>
                <w:szCs w:val="20"/>
              </w:rPr>
            </w:pPr>
            <w:r>
              <w:rPr>
                <w:color w:val="000000"/>
                <w:sz w:val="20"/>
                <w:szCs w:val="20"/>
              </w:rPr>
              <w:t xml:space="preserve">   4.11 </w:t>
            </w:r>
          </w:p>
        </w:tc>
      </w:tr>
      <w:tr>
        <w:tblPrEx>
          <w:tblLayout w:type="fixed"/>
          <w:tblCellMar>
            <w:top w:w="0" w:type="dxa"/>
            <w:left w:w="108" w:type="dxa"/>
            <w:bottom w:w="0" w:type="dxa"/>
            <w:right w:w="108" w:type="dxa"/>
          </w:tblCellMar>
        </w:tblPrEx>
        <w:trPr>
          <w:trHeight w:val="435" w:hRule="atLeast"/>
        </w:trPr>
        <w:tc>
          <w:tcPr>
            <w:tcW w:w="14105" w:type="dxa"/>
            <w:gridSpan w:val="13"/>
            <w:tcBorders>
              <w:top w:val="single" w:color="auto" w:sz="4" w:space="0"/>
              <w:left w:val="nil"/>
              <w:bottom w:val="nil"/>
              <w:right w:val="nil"/>
            </w:tcBorders>
            <w:vAlign w:val="center"/>
          </w:tcPr>
          <w:p>
            <w:pPr>
              <w:rPr>
                <w:rFonts w:ascii="宋体"/>
                <w:color w:val="000000"/>
                <w:sz w:val="20"/>
                <w:szCs w:val="20"/>
              </w:rPr>
            </w:pPr>
            <w:r>
              <w:rPr>
                <w:rFonts w:hint="eastAsia" w:cs="宋体"/>
                <w:color w:val="000000"/>
                <w:sz w:val="20"/>
                <w:szCs w:val="20"/>
              </w:rPr>
              <w:t>注：</w:t>
            </w:r>
            <w:r>
              <w:rPr>
                <w:color w:val="000000"/>
                <w:sz w:val="20"/>
                <w:szCs w:val="20"/>
              </w:rPr>
              <w:t>2016</w:t>
            </w:r>
            <w:r>
              <w:rPr>
                <w:rFonts w:hint="eastAsia" w:cs="宋体"/>
                <w:color w:val="000000"/>
                <w:sz w:val="20"/>
                <w:szCs w:val="20"/>
              </w:rPr>
              <w:t>年度预算数为“三公”经费年初预算数。</w:t>
            </w:r>
            <w:r>
              <w:rPr>
                <w:color w:val="000000"/>
                <w:sz w:val="20"/>
                <w:szCs w:val="20"/>
              </w:rPr>
              <w:t xml:space="preserve"> </w:t>
            </w:r>
          </w:p>
        </w:tc>
      </w:tr>
    </w:tbl>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p>
    <w:p>
      <w:pPr>
        <w:jc w:val="center"/>
        <w:rPr>
          <w:rFonts w:ascii="宋体"/>
          <w:b/>
          <w:bCs/>
          <w:color w:val="000000"/>
          <w:kern w:val="0"/>
          <w:sz w:val="44"/>
          <w:szCs w:val="44"/>
        </w:rPr>
      </w:pPr>
      <w:r>
        <w:rPr>
          <w:rFonts w:hint="eastAsia" w:ascii="宋体" w:hAnsi="宋体" w:cs="宋体"/>
          <w:b/>
          <w:bCs/>
          <w:color w:val="000000"/>
          <w:kern w:val="0"/>
          <w:sz w:val="44"/>
          <w:szCs w:val="44"/>
        </w:rPr>
        <w:t>政府性基金预算财政拨款收入支出决算表</w:t>
      </w:r>
    </w:p>
    <w:tbl>
      <w:tblPr>
        <w:tblStyle w:val="6"/>
        <w:tblW w:w="13520" w:type="dxa"/>
        <w:tblInd w:w="-106" w:type="dxa"/>
        <w:tblLayout w:type="fixed"/>
        <w:tblCellMar>
          <w:top w:w="0" w:type="dxa"/>
          <w:left w:w="108" w:type="dxa"/>
          <w:bottom w:w="0" w:type="dxa"/>
          <w:right w:w="108" w:type="dxa"/>
        </w:tblCellMar>
      </w:tblPr>
      <w:tblGrid>
        <w:gridCol w:w="416"/>
        <w:gridCol w:w="416"/>
        <w:gridCol w:w="460"/>
        <w:gridCol w:w="1622"/>
        <w:gridCol w:w="1738"/>
        <w:gridCol w:w="1688"/>
        <w:gridCol w:w="1680"/>
        <w:gridCol w:w="1840"/>
        <w:gridCol w:w="1780"/>
        <w:gridCol w:w="1880"/>
      </w:tblGrid>
      <w:tr>
        <w:tblPrEx>
          <w:tblLayout w:type="fixed"/>
          <w:tblCellMar>
            <w:top w:w="0" w:type="dxa"/>
            <w:left w:w="108" w:type="dxa"/>
            <w:bottom w:w="0" w:type="dxa"/>
            <w:right w:w="108" w:type="dxa"/>
          </w:tblCellMar>
        </w:tblPrEx>
        <w:trPr>
          <w:trHeight w:val="300" w:hRule="atLeast"/>
        </w:trPr>
        <w:tc>
          <w:tcPr>
            <w:tcW w:w="6340" w:type="dxa"/>
            <w:gridSpan w:val="6"/>
            <w:tcBorders>
              <w:top w:val="nil"/>
              <w:left w:val="nil"/>
              <w:bottom w:val="single" w:color="auto" w:sz="4" w:space="0"/>
              <w:right w:val="nil"/>
            </w:tcBorders>
            <w:vAlign w:val="bottom"/>
          </w:tcPr>
          <w:p>
            <w:pPr>
              <w:widowControl/>
              <w:jc w:val="left"/>
              <w:rPr>
                <w:rFonts w:ascii="宋体"/>
                <w:color w:val="000000"/>
                <w:kern w:val="0"/>
                <w:sz w:val="24"/>
                <w:szCs w:val="24"/>
              </w:rPr>
            </w:pPr>
            <w:r>
              <w:rPr>
                <w:rFonts w:hint="eastAsia" w:ascii="宋体" w:hAnsi="宋体" w:cs="宋体"/>
                <w:color w:val="000000"/>
                <w:kern w:val="0"/>
                <w:sz w:val="24"/>
                <w:szCs w:val="24"/>
              </w:rPr>
              <w:t>公开部门：宁夏回族自治区人民医院</w:t>
            </w:r>
          </w:p>
        </w:tc>
        <w:tc>
          <w:tcPr>
            <w:tcW w:w="168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1840" w:type="dxa"/>
            <w:tcBorders>
              <w:top w:val="nil"/>
              <w:left w:val="nil"/>
              <w:bottom w:val="nil"/>
              <w:right w:val="nil"/>
            </w:tcBorders>
            <w:vAlign w:val="bottom"/>
          </w:tcPr>
          <w:p>
            <w:pPr>
              <w:widowControl/>
              <w:jc w:val="left"/>
              <w:rPr>
                <w:rFonts w:ascii="Arial" w:hAnsi="Arial" w:cs="Arial"/>
                <w:color w:val="000000"/>
                <w:kern w:val="0"/>
                <w:sz w:val="20"/>
                <w:szCs w:val="20"/>
              </w:rPr>
            </w:pPr>
          </w:p>
        </w:tc>
        <w:tc>
          <w:tcPr>
            <w:tcW w:w="3660" w:type="dxa"/>
            <w:gridSpan w:val="2"/>
            <w:tcBorders>
              <w:top w:val="nil"/>
              <w:left w:val="nil"/>
              <w:bottom w:val="single" w:color="auto" w:sz="4" w:space="0"/>
              <w:right w:val="nil"/>
            </w:tcBorders>
            <w:vAlign w:val="bottom"/>
          </w:tcPr>
          <w:p>
            <w:pPr>
              <w:widowControl/>
              <w:jc w:val="right"/>
              <w:rPr>
                <w:rFonts w:ascii="宋体"/>
                <w:color w:val="000000"/>
                <w:kern w:val="0"/>
                <w:sz w:val="24"/>
                <w:szCs w:val="24"/>
              </w:rPr>
            </w:pPr>
            <w:r>
              <w:rPr>
                <w:rFonts w:hint="eastAsia" w:ascii="宋体" w:hAnsi="宋体" w:cs="宋体"/>
                <w:color w:val="000000"/>
                <w:kern w:val="0"/>
                <w:sz w:val="24"/>
                <w:szCs w:val="24"/>
              </w:rPr>
              <w:t>金额单位：万元</w:t>
            </w:r>
          </w:p>
        </w:tc>
      </w:tr>
      <w:tr>
        <w:tblPrEx>
          <w:tblLayout w:type="fixed"/>
          <w:tblCellMar>
            <w:top w:w="0" w:type="dxa"/>
            <w:left w:w="108" w:type="dxa"/>
            <w:bottom w:w="0" w:type="dxa"/>
            <w:right w:w="108" w:type="dxa"/>
          </w:tblCellMar>
        </w:tblPrEx>
        <w:trPr>
          <w:trHeight w:val="308" w:hRule="atLeast"/>
        </w:trPr>
        <w:tc>
          <w:tcPr>
            <w:tcW w:w="2914"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w:t>
            </w:r>
          </w:p>
        </w:tc>
        <w:tc>
          <w:tcPr>
            <w:tcW w:w="1738"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年初结转和结余</w:t>
            </w:r>
          </w:p>
        </w:tc>
        <w:tc>
          <w:tcPr>
            <w:tcW w:w="1688" w:type="dxa"/>
            <w:vMerge w:val="restart"/>
            <w:tcBorders>
              <w:top w:val="nil"/>
              <w:left w:val="single" w:color="auto" w:sz="4" w:space="0"/>
              <w:bottom w:val="single" w:color="000000" w:sz="4" w:space="0"/>
              <w:right w:val="nil"/>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本年收入</w:t>
            </w:r>
          </w:p>
        </w:tc>
        <w:tc>
          <w:tcPr>
            <w:tcW w:w="53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本年支出</w:t>
            </w:r>
          </w:p>
        </w:tc>
        <w:tc>
          <w:tcPr>
            <w:tcW w:w="18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年末结转和结余</w:t>
            </w:r>
          </w:p>
        </w:tc>
      </w:tr>
      <w:tr>
        <w:tblPrEx>
          <w:tblLayout w:type="fixed"/>
          <w:tblCellMar>
            <w:top w:w="0" w:type="dxa"/>
            <w:left w:w="108" w:type="dxa"/>
            <w:bottom w:w="0" w:type="dxa"/>
            <w:right w:w="108" w:type="dxa"/>
          </w:tblCellMar>
        </w:tblPrEx>
        <w:trPr>
          <w:trHeight w:val="312" w:hRule="atLeast"/>
        </w:trPr>
        <w:tc>
          <w:tcPr>
            <w:tcW w:w="129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功能分类科目编码</w:t>
            </w:r>
          </w:p>
        </w:tc>
        <w:tc>
          <w:tcPr>
            <w:tcW w:w="1622"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科目名称</w:t>
            </w:r>
          </w:p>
        </w:tc>
        <w:tc>
          <w:tcPr>
            <w:tcW w:w="17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88" w:type="dxa"/>
            <w:vMerge w:val="continue"/>
            <w:tcBorders>
              <w:top w:val="nil"/>
              <w:left w:val="single" w:color="auto" w:sz="4" w:space="0"/>
              <w:bottom w:val="single" w:color="000000" w:sz="4" w:space="0"/>
              <w:right w:val="nil"/>
            </w:tcBorders>
            <w:vAlign w:val="center"/>
          </w:tcPr>
          <w:p>
            <w:pPr>
              <w:widowControl/>
              <w:jc w:val="left"/>
              <w:rPr>
                <w:rFonts w:ascii="宋体"/>
                <w:color w:val="000000"/>
                <w:kern w:val="0"/>
                <w:sz w:val="22"/>
                <w:szCs w:val="22"/>
              </w:rPr>
            </w:pPr>
          </w:p>
        </w:tc>
        <w:tc>
          <w:tcPr>
            <w:tcW w:w="16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小计</w:t>
            </w:r>
          </w:p>
        </w:tc>
        <w:tc>
          <w:tcPr>
            <w:tcW w:w="18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基本支出</w:t>
            </w:r>
          </w:p>
        </w:tc>
        <w:tc>
          <w:tcPr>
            <w:tcW w:w="1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项目支出</w:t>
            </w:r>
          </w:p>
        </w:tc>
        <w:tc>
          <w:tcPr>
            <w:tcW w:w="1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29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2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88" w:type="dxa"/>
            <w:vMerge w:val="continue"/>
            <w:tcBorders>
              <w:top w:val="nil"/>
              <w:left w:val="single" w:color="auto" w:sz="4" w:space="0"/>
              <w:bottom w:val="single" w:color="000000" w:sz="4" w:space="0"/>
              <w:right w:val="nil"/>
            </w:tcBorders>
            <w:vAlign w:val="center"/>
          </w:tcPr>
          <w:p>
            <w:pPr>
              <w:widowControl/>
              <w:jc w:val="left"/>
              <w:rPr>
                <w:rFonts w:ascii="宋体"/>
                <w:color w:val="000000"/>
                <w:kern w:val="0"/>
                <w:sz w:val="22"/>
                <w:szCs w:val="22"/>
              </w:rPr>
            </w:pPr>
          </w:p>
        </w:tc>
        <w:tc>
          <w:tcPr>
            <w:tcW w:w="16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12" w:hRule="atLeast"/>
        </w:trPr>
        <w:tc>
          <w:tcPr>
            <w:tcW w:w="129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2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88" w:type="dxa"/>
            <w:vMerge w:val="continue"/>
            <w:tcBorders>
              <w:top w:val="nil"/>
              <w:left w:val="single" w:color="auto" w:sz="4" w:space="0"/>
              <w:bottom w:val="single" w:color="000000" w:sz="4" w:space="0"/>
              <w:right w:val="nil"/>
            </w:tcBorders>
            <w:vAlign w:val="center"/>
          </w:tcPr>
          <w:p>
            <w:pPr>
              <w:widowControl/>
              <w:jc w:val="left"/>
              <w:rPr>
                <w:rFonts w:ascii="宋体"/>
                <w:color w:val="000000"/>
                <w:kern w:val="0"/>
                <w:sz w:val="22"/>
                <w:szCs w:val="22"/>
              </w:rPr>
            </w:pPr>
          </w:p>
        </w:tc>
        <w:tc>
          <w:tcPr>
            <w:tcW w:w="16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r>
      <w:tr>
        <w:tblPrEx>
          <w:tblLayout w:type="fixed"/>
          <w:tblCellMar>
            <w:top w:w="0" w:type="dxa"/>
            <w:left w:w="108" w:type="dxa"/>
            <w:bottom w:w="0" w:type="dxa"/>
            <w:right w:w="108" w:type="dxa"/>
          </w:tblCellMar>
        </w:tblPrEx>
        <w:trPr>
          <w:trHeight w:val="308" w:hRule="atLeast"/>
        </w:trPr>
        <w:tc>
          <w:tcPr>
            <w:tcW w:w="41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类</w:t>
            </w:r>
          </w:p>
        </w:tc>
        <w:tc>
          <w:tcPr>
            <w:tcW w:w="41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款</w:t>
            </w:r>
          </w:p>
        </w:tc>
        <w:tc>
          <w:tcPr>
            <w:tcW w:w="4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项</w:t>
            </w:r>
          </w:p>
        </w:tc>
        <w:tc>
          <w:tcPr>
            <w:tcW w:w="1622" w:type="dxa"/>
            <w:tcBorders>
              <w:top w:val="nil"/>
              <w:left w:val="nil"/>
              <w:bottom w:val="single" w:color="auto" w:sz="4" w:space="0"/>
              <w:right w:val="nil"/>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栏次</w:t>
            </w:r>
          </w:p>
        </w:tc>
        <w:tc>
          <w:tcPr>
            <w:tcW w:w="1738"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1688"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2</w:t>
            </w:r>
          </w:p>
        </w:tc>
        <w:tc>
          <w:tcPr>
            <w:tcW w:w="16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3</w:t>
            </w:r>
          </w:p>
        </w:tc>
        <w:tc>
          <w:tcPr>
            <w:tcW w:w="184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4</w:t>
            </w:r>
          </w:p>
        </w:tc>
        <w:tc>
          <w:tcPr>
            <w:tcW w:w="17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5</w:t>
            </w:r>
          </w:p>
        </w:tc>
        <w:tc>
          <w:tcPr>
            <w:tcW w:w="1880" w:type="dxa"/>
            <w:tcBorders>
              <w:top w:val="nil"/>
              <w:left w:val="nil"/>
              <w:bottom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6</w:t>
            </w:r>
          </w:p>
        </w:tc>
      </w:tr>
      <w:tr>
        <w:tblPrEx>
          <w:tblLayout w:type="fixed"/>
          <w:tblCellMar>
            <w:top w:w="0" w:type="dxa"/>
            <w:left w:w="108" w:type="dxa"/>
            <w:bottom w:w="0" w:type="dxa"/>
            <w:right w:w="108" w:type="dxa"/>
          </w:tblCellMar>
        </w:tblPrEx>
        <w:trPr>
          <w:trHeight w:val="308" w:hRule="atLeast"/>
        </w:trPr>
        <w:tc>
          <w:tcPr>
            <w:tcW w:w="41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p>
        </w:tc>
        <w:tc>
          <w:tcPr>
            <w:tcW w:w="4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p>
        </w:tc>
        <w:tc>
          <w:tcPr>
            <w:tcW w:w="1622" w:type="dxa"/>
            <w:tcBorders>
              <w:top w:val="nil"/>
              <w:left w:val="nil"/>
              <w:bottom w:val="single" w:color="auto" w:sz="4" w:space="0"/>
              <w:right w:val="nil"/>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合计</w:t>
            </w:r>
          </w:p>
        </w:tc>
        <w:tc>
          <w:tcPr>
            <w:tcW w:w="1738"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308" w:hRule="atLeast"/>
        </w:trPr>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622" w:type="dxa"/>
            <w:tcBorders>
              <w:top w:val="nil"/>
              <w:left w:val="nil"/>
              <w:bottom w:val="single" w:color="auto" w:sz="4" w:space="0"/>
              <w:right w:val="single" w:color="auto" w:sz="4" w:space="0"/>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　</w:t>
            </w:r>
          </w:p>
        </w:tc>
        <w:tc>
          <w:tcPr>
            <w:tcW w:w="173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8"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6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4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7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c>
          <w:tcPr>
            <w:tcW w:w="1880" w:type="dxa"/>
            <w:tcBorders>
              <w:top w:val="nil"/>
              <w:left w:val="nil"/>
              <w:bottom w:val="single" w:color="auto" w:sz="4" w:space="0"/>
              <w:right w:val="single" w:color="auto" w:sz="4" w:space="0"/>
            </w:tcBorders>
            <w:vAlign w:val="center"/>
          </w:tcPr>
          <w:p>
            <w:pPr>
              <w:widowControl/>
              <w:jc w:val="right"/>
              <w:rPr>
                <w:rFonts w:ascii="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615" w:hRule="atLeast"/>
        </w:trPr>
        <w:tc>
          <w:tcPr>
            <w:tcW w:w="13520" w:type="dxa"/>
            <w:gridSpan w:val="10"/>
            <w:tcBorders>
              <w:top w:val="single" w:color="auto" w:sz="4" w:space="0"/>
              <w:left w:val="nil"/>
              <w:bottom w:val="nil"/>
              <w:right w:val="nil"/>
            </w:tcBorders>
            <w:vAlign w:val="center"/>
          </w:tcPr>
          <w:p>
            <w:pPr>
              <w:widowControl/>
              <w:jc w:val="left"/>
              <w:rPr>
                <w:rFonts w:ascii="宋体"/>
                <w:color w:val="000000"/>
                <w:kern w:val="0"/>
                <w:sz w:val="22"/>
                <w:szCs w:val="22"/>
              </w:rPr>
            </w:pPr>
            <w:r>
              <w:rPr>
                <w:rFonts w:hint="eastAsia" w:ascii="宋体" w:hAnsi="宋体" w:cs="宋体"/>
                <w:color w:val="000000"/>
                <w:kern w:val="0"/>
                <w:sz w:val="22"/>
                <w:szCs w:val="22"/>
              </w:rPr>
              <w:t>注：本表反映部门本年度政府性基金预算财政拨款收入支出及结转结余情况</w:t>
            </w:r>
            <w:r>
              <w:rPr>
                <w:rFonts w:ascii="宋体" w:cs="宋体"/>
                <w:color w:val="000000"/>
                <w:kern w:val="0"/>
                <w:sz w:val="22"/>
                <w:szCs w:val="22"/>
              </w:rPr>
              <w:t>,</w:t>
            </w:r>
            <w:r>
              <w:rPr>
                <w:rFonts w:hint="eastAsia" w:ascii="宋体" w:hAnsi="宋体" w:cs="宋体"/>
                <w:color w:val="000000"/>
                <w:kern w:val="0"/>
                <w:sz w:val="22"/>
                <w:szCs w:val="22"/>
              </w:rPr>
              <w:t>数据取自财决</w:t>
            </w:r>
            <w:r>
              <w:rPr>
                <w:rFonts w:ascii="宋体" w:hAnsi="宋体" w:cs="宋体"/>
                <w:color w:val="000000"/>
                <w:kern w:val="0"/>
                <w:sz w:val="22"/>
                <w:szCs w:val="22"/>
              </w:rPr>
              <w:t>09</w:t>
            </w:r>
            <w:r>
              <w:rPr>
                <w:rFonts w:hint="eastAsia" w:ascii="宋体" w:hAnsi="宋体" w:cs="宋体"/>
                <w:color w:val="000000"/>
                <w:kern w:val="0"/>
                <w:sz w:val="22"/>
                <w:szCs w:val="22"/>
              </w:rPr>
              <w:t>表</w:t>
            </w:r>
          </w:p>
        </w:tc>
      </w:tr>
    </w:tbl>
    <w:p>
      <w:pPr>
        <w:jc w:val="center"/>
        <w:rPr>
          <w:rFonts w:ascii="宋体"/>
          <w:b/>
          <w:bCs/>
          <w:color w:val="000000"/>
          <w:kern w:val="0"/>
          <w:sz w:val="44"/>
          <w:szCs w:val="44"/>
        </w:rPr>
      </w:pPr>
    </w:p>
    <w:p>
      <w:pPr>
        <w:jc w:val="center"/>
        <w:sectPr>
          <w:pgSz w:w="16838" w:h="11906" w:orient="landscape"/>
          <w:pgMar w:top="1797" w:right="1440" w:bottom="1797" w:left="1440" w:header="851" w:footer="992" w:gutter="0"/>
          <w:cols w:space="425" w:num="1"/>
          <w:docGrid w:type="linesAndChars" w:linePitch="312" w:charSpace="0"/>
        </w:sectPr>
      </w:pPr>
    </w:p>
    <w:p>
      <w:pPr>
        <w:spacing w:line="560" w:lineRule="exact"/>
        <w:jc w:val="center"/>
        <w:outlineLvl w:val="1"/>
        <w:rPr>
          <w:rFonts w:ascii="方正小标宋_GBK" w:hAnsi="宋体" w:eastAsia="方正小标宋_GBK"/>
          <w:kern w:val="0"/>
          <w:sz w:val="44"/>
          <w:szCs w:val="44"/>
        </w:rPr>
      </w:pPr>
      <w:r>
        <w:rPr>
          <w:rFonts w:hint="eastAsia" w:ascii="方正小标宋_GBK" w:hAnsi="宋体" w:eastAsia="方正小标宋_GBK" w:cs="方正小标宋_GBK"/>
          <w:kern w:val="0"/>
          <w:sz w:val="44"/>
          <w:szCs w:val="44"/>
        </w:rPr>
        <w:t>第三部分</w:t>
      </w:r>
      <w:r>
        <w:rPr>
          <w:rFonts w:ascii="方正小标宋_GBK" w:hAnsi="宋体" w:eastAsia="方正小标宋_GBK" w:cs="方正小标宋_GBK"/>
          <w:kern w:val="0"/>
          <w:sz w:val="44"/>
          <w:szCs w:val="44"/>
        </w:rPr>
        <w:t xml:space="preserve"> 2016</w:t>
      </w:r>
      <w:r>
        <w:rPr>
          <w:rFonts w:hint="eastAsia" w:ascii="方正小标宋_GBK" w:hAnsi="宋体" w:eastAsia="方正小标宋_GBK" w:cs="方正小标宋_GBK"/>
          <w:kern w:val="0"/>
          <w:sz w:val="44"/>
          <w:szCs w:val="44"/>
        </w:rPr>
        <w:t>年度部门决算情况说明</w:t>
      </w:r>
    </w:p>
    <w:p>
      <w:pPr>
        <w:spacing w:line="560" w:lineRule="exact"/>
        <w:outlineLvl w:val="1"/>
        <w:rPr>
          <w:rFonts w:ascii="仿宋_GB2312" w:hAnsi="宋体" w:eastAsia="仿宋_GB2312"/>
          <w:b/>
          <w:bCs/>
          <w:kern w:val="0"/>
          <w:sz w:val="32"/>
          <w:szCs w:val="32"/>
        </w:rPr>
      </w:pPr>
    </w:p>
    <w:p>
      <w:pPr>
        <w:spacing w:line="560" w:lineRule="exact"/>
        <w:outlineLvl w:val="1"/>
        <w:rPr>
          <w:rFonts w:ascii="黑体" w:hAnsi="宋体" w:eastAsia="黑体"/>
          <w:kern w:val="0"/>
          <w:sz w:val="32"/>
          <w:szCs w:val="32"/>
        </w:rPr>
      </w:pPr>
      <w:r>
        <w:rPr>
          <w:rFonts w:ascii="黑体" w:hAnsi="宋体" w:eastAsia="黑体" w:cs="黑体"/>
          <w:kern w:val="0"/>
          <w:sz w:val="32"/>
          <w:szCs w:val="32"/>
        </w:rPr>
        <w:t xml:space="preserve">    </w:t>
      </w:r>
      <w:r>
        <w:rPr>
          <w:rFonts w:hint="eastAsia" w:ascii="黑体" w:hAnsi="宋体" w:eastAsia="黑体" w:cs="黑体"/>
          <w:kern w:val="0"/>
          <w:sz w:val="32"/>
          <w:szCs w:val="32"/>
        </w:rPr>
        <w:t>一、关于</w:t>
      </w:r>
      <w:r>
        <w:rPr>
          <w:rFonts w:ascii="黑体" w:hAnsi="宋体" w:eastAsia="黑体" w:cs="黑体"/>
          <w:kern w:val="0"/>
          <w:sz w:val="32"/>
          <w:szCs w:val="32"/>
        </w:rPr>
        <w:t>2016</w:t>
      </w:r>
      <w:r>
        <w:rPr>
          <w:rFonts w:hint="eastAsia" w:ascii="黑体" w:hAnsi="宋体" w:eastAsia="黑体" w:cs="黑体"/>
          <w:kern w:val="0"/>
          <w:sz w:val="32"/>
          <w:szCs w:val="32"/>
        </w:rPr>
        <w:t>年度收入支出决算总体情况说明</w:t>
      </w:r>
    </w:p>
    <w:p>
      <w:pPr>
        <w:spacing w:line="560" w:lineRule="exact"/>
        <w:ind w:firstLine="31680" w:firstLineChars="168"/>
        <w:outlineLvl w:val="1"/>
        <w:rPr>
          <w:rFonts w:ascii="仿宋_GB2312" w:hAnsi="宋体" w:eastAsia="仿宋_GB2312"/>
          <w:kern w:val="0"/>
          <w:sz w:val="32"/>
          <w:szCs w:val="32"/>
        </w:rPr>
      </w:pP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年度总收入</w:t>
      </w:r>
      <w:r>
        <w:rPr>
          <w:rFonts w:ascii="仿宋_GB2312" w:hAnsi="宋体" w:eastAsia="仿宋_GB2312" w:cs="仿宋_GB2312"/>
          <w:kern w:val="0"/>
          <w:sz w:val="32"/>
          <w:szCs w:val="32"/>
        </w:rPr>
        <w:t>185488.71</w:t>
      </w:r>
      <w:r>
        <w:rPr>
          <w:rFonts w:hint="eastAsia" w:ascii="仿宋_GB2312" w:hAnsi="宋体" w:eastAsia="仿宋_GB2312" w:cs="仿宋_GB2312"/>
          <w:kern w:val="0"/>
          <w:sz w:val="32"/>
          <w:szCs w:val="32"/>
        </w:rPr>
        <w:t>万元，总支出</w:t>
      </w:r>
      <w:r>
        <w:rPr>
          <w:rFonts w:ascii="仿宋_GB2312" w:hAnsi="宋体" w:eastAsia="仿宋_GB2312" w:cs="仿宋_GB2312"/>
          <w:kern w:val="0"/>
          <w:sz w:val="32"/>
          <w:szCs w:val="32"/>
        </w:rPr>
        <w:t>184778.47</w:t>
      </w:r>
      <w:r>
        <w:rPr>
          <w:rFonts w:hint="eastAsia" w:ascii="仿宋_GB2312" w:hAnsi="宋体" w:eastAsia="仿宋_GB2312" w:cs="仿宋_GB2312"/>
          <w:kern w:val="0"/>
          <w:sz w:val="32"/>
          <w:szCs w:val="32"/>
        </w:rPr>
        <w:t>万元。与</w:t>
      </w:r>
      <w:r>
        <w:rPr>
          <w:rFonts w:ascii="仿宋_GB2312" w:hAnsi="宋体" w:eastAsia="仿宋_GB2312" w:cs="仿宋_GB2312"/>
          <w:kern w:val="0"/>
          <w:sz w:val="32"/>
          <w:szCs w:val="32"/>
        </w:rPr>
        <w:t>2015</w:t>
      </w:r>
      <w:r>
        <w:rPr>
          <w:rFonts w:hint="eastAsia" w:ascii="仿宋_GB2312" w:hAnsi="宋体" w:eastAsia="仿宋_GB2312" w:cs="仿宋_GB2312"/>
          <w:kern w:val="0"/>
          <w:sz w:val="32"/>
          <w:szCs w:val="32"/>
        </w:rPr>
        <w:t>年相比，总收入增加</w:t>
      </w:r>
      <w:r>
        <w:rPr>
          <w:rFonts w:ascii="仿宋_GB2312" w:hAnsi="宋体" w:eastAsia="仿宋_GB2312" w:cs="仿宋_GB2312"/>
          <w:kern w:val="0"/>
          <w:sz w:val="32"/>
          <w:szCs w:val="32"/>
        </w:rPr>
        <w:t>17550.49</w:t>
      </w:r>
      <w:r>
        <w:rPr>
          <w:rFonts w:hint="eastAsia" w:ascii="仿宋_GB2312" w:hAnsi="宋体" w:eastAsia="仿宋_GB2312" w:cs="仿宋_GB2312"/>
          <w:kern w:val="0"/>
          <w:sz w:val="32"/>
          <w:szCs w:val="32"/>
        </w:rPr>
        <w:t>万元，增长</w:t>
      </w:r>
      <w:r>
        <w:rPr>
          <w:rFonts w:ascii="仿宋_GB2312" w:hAnsi="宋体" w:eastAsia="仿宋_GB2312" w:cs="仿宋_GB2312"/>
          <w:kern w:val="0"/>
          <w:sz w:val="32"/>
          <w:szCs w:val="32"/>
        </w:rPr>
        <w:t>10.45%</w:t>
      </w:r>
      <w:r>
        <w:rPr>
          <w:rFonts w:hint="eastAsia" w:ascii="仿宋_GB2312" w:hAnsi="宋体" w:eastAsia="仿宋_GB2312" w:cs="仿宋_GB2312"/>
          <w:kern w:val="0"/>
          <w:sz w:val="32"/>
          <w:szCs w:val="32"/>
        </w:rPr>
        <w:t>，总支出增加</w:t>
      </w:r>
      <w:r>
        <w:rPr>
          <w:rFonts w:ascii="仿宋_GB2312" w:hAnsi="宋体" w:eastAsia="仿宋_GB2312" w:cs="仿宋_GB2312"/>
          <w:kern w:val="0"/>
          <w:sz w:val="32"/>
          <w:szCs w:val="32"/>
        </w:rPr>
        <w:t>26042.94</w:t>
      </w:r>
      <w:r>
        <w:rPr>
          <w:rFonts w:hint="eastAsia" w:ascii="仿宋_GB2312" w:hAnsi="宋体" w:eastAsia="仿宋_GB2312" w:cs="仿宋_GB2312"/>
          <w:kern w:val="0"/>
          <w:sz w:val="32"/>
          <w:szCs w:val="32"/>
        </w:rPr>
        <w:t>万元，增长</w:t>
      </w:r>
      <w:r>
        <w:rPr>
          <w:rFonts w:ascii="仿宋_GB2312" w:hAnsi="宋体" w:eastAsia="仿宋_GB2312" w:cs="仿宋_GB2312"/>
          <w:kern w:val="0"/>
          <w:sz w:val="32"/>
          <w:szCs w:val="32"/>
        </w:rPr>
        <w:t>16.41%</w:t>
      </w:r>
      <w:r>
        <w:rPr>
          <w:rFonts w:hint="eastAsia" w:ascii="仿宋_GB2312" w:hAnsi="宋体" w:eastAsia="仿宋_GB2312" w:cs="仿宋_GB2312"/>
          <w:kern w:val="0"/>
          <w:sz w:val="32"/>
          <w:szCs w:val="32"/>
        </w:rPr>
        <w:t>。</w:t>
      </w:r>
    </w:p>
    <w:p>
      <w:pPr>
        <w:spacing w:line="560" w:lineRule="exact"/>
        <w:outlineLvl w:val="1"/>
        <w:rPr>
          <w:rFonts w:ascii="黑体" w:hAnsi="宋体" w:eastAsia="黑体"/>
          <w:kern w:val="0"/>
          <w:sz w:val="32"/>
          <w:szCs w:val="32"/>
        </w:rPr>
      </w:pPr>
      <w:r>
        <w:rPr>
          <w:rFonts w:ascii="黑体" w:hAnsi="宋体" w:eastAsia="黑体" w:cs="黑体"/>
          <w:kern w:val="0"/>
          <w:sz w:val="32"/>
          <w:szCs w:val="32"/>
        </w:rPr>
        <w:t xml:space="preserve">    </w:t>
      </w:r>
      <w:r>
        <w:rPr>
          <w:rFonts w:hint="eastAsia" w:ascii="黑体" w:hAnsi="宋体" w:eastAsia="黑体" w:cs="黑体"/>
          <w:kern w:val="0"/>
          <w:sz w:val="32"/>
          <w:szCs w:val="32"/>
        </w:rPr>
        <w:t>二、关于</w:t>
      </w:r>
      <w:r>
        <w:rPr>
          <w:rFonts w:ascii="黑体" w:hAnsi="宋体" w:eastAsia="黑体" w:cs="黑体"/>
          <w:kern w:val="0"/>
          <w:sz w:val="32"/>
          <w:szCs w:val="32"/>
        </w:rPr>
        <w:t>2016</w:t>
      </w:r>
      <w:r>
        <w:rPr>
          <w:rFonts w:hint="eastAsia" w:ascii="黑体" w:hAnsi="宋体" w:eastAsia="黑体" w:cs="黑体"/>
          <w:kern w:val="0"/>
          <w:sz w:val="32"/>
          <w:szCs w:val="32"/>
        </w:rPr>
        <w:t>年度收入决算情况说明</w:t>
      </w:r>
    </w:p>
    <w:p>
      <w:pPr>
        <w:pStyle w:val="9"/>
        <w:spacing w:line="560" w:lineRule="exact"/>
        <w:ind w:firstLine="31680" w:firstLineChars="233"/>
        <w:rPr>
          <w:rFonts w:ascii="仿宋_GB2312" w:hAnsi="宋体" w:eastAsia="仿宋_GB2312" w:cs="Times New Roman"/>
          <w:color w:val="auto"/>
          <w:sz w:val="32"/>
          <w:szCs w:val="32"/>
        </w:rPr>
      </w:pPr>
      <w:r>
        <w:rPr>
          <w:rFonts w:hint="eastAsia" w:ascii="仿宋_GB2312" w:hAnsi="宋体" w:eastAsia="仿宋_GB2312" w:cs="仿宋_GB2312"/>
          <w:color w:val="auto"/>
          <w:sz w:val="32"/>
          <w:szCs w:val="32"/>
        </w:rPr>
        <w:t>本年收入总计</w:t>
      </w:r>
      <w:r>
        <w:rPr>
          <w:rFonts w:ascii="仿宋_GB2312" w:hAnsi="宋体" w:eastAsia="仿宋_GB2312" w:cs="仿宋_GB2312"/>
          <w:color w:val="auto"/>
          <w:sz w:val="32"/>
          <w:szCs w:val="32"/>
        </w:rPr>
        <w:t>185488.71</w:t>
      </w:r>
      <w:r>
        <w:rPr>
          <w:rFonts w:hint="eastAsia" w:ascii="仿宋_GB2312" w:hAnsi="宋体" w:eastAsia="仿宋_GB2312" w:cs="仿宋_GB2312"/>
          <w:color w:val="auto"/>
          <w:sz w:val="32"/>
          <w:szCs w:val="32"/>
        </w:rPr>
        <w:t>万元，其中：财政拨款收入</w:t>
      </w:r>
      <w:r>
        <w:rPr>
          <w:rFonts w:ascii="仿宋_GB2312" w:hAnsi="宋体" w:eastAsia="仿宋_GB2312" w:cs="仿宋_GB2312"/>
          <w:color w:val="auto"/>
          <w:sz w:val="32"/>
          <w:szCs w:val="32"/>
        </w:rPr>
        <w:t xml:space="preserve"> 14719.37</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7.94%</w:t>
      </w:r>
      <w:r>
        <w:rPr>
          <w:rFonts w:hint="eastAsia" w:ascii="仿宋_GB2312" w:hAnsi="宋体" w:eastAsia="仿宋_GB2312" w:cs="仿宋_GB2312"/>
          <w:color w:val="auto"/>
          <w:sz w:val="32"/>
          <w:szCs w:val="32"/>
        </w:rPr>
        <w:t>；事业收入</w:t>
      </w:r>
      <w:r>
        <w:rPr>
          <w:rFonts w:ascii="仿宋_GB2312" w:hAnsi="宋体" w:eastAsia="仿宋_GB2312" w:cs="仿宋_GB2312"/>
          <w:color w:val="auto"/>
          <w:sz w:val="32"/>
          <w:szCs w:val="32"/>
        </w:rPr>
        <w:t>168008.95</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90.58%</w:t>
      </w:r>
      <w:r>
        <w:rPr>
          <w:rFonts w:hint="eastAsia" w:ascii="仿宋_GB2312" w:hAnsi="宋体" w:eastAsia="仿宋_GB2312" w:cs="仿宋_GB2312"/>
          <w:color w:val="auto"/>
          <w:sz w:val="32"/>
          <w:szCs w:val="32"/>
        </w:rPr>
        <w:t>；其他收入</w:t>
      </w:r>
      <w:r>
        <w:rPr>
          <w:rFonts w:ascii="仿宋_GB2312" w:hAnsi="宋体" w:eastAsia="仿宋_GB2312" w:cs="仿宋_GB2312"/>
          <w:color w:val="auto"/>
          <w:sz w:val="32"/>
          <w:szCs w:val="32"/>
        </w:rPr>
        <w:t>2760.39</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1.48%</w:t>
      </w:r>
      <w:r>
        <w:rPr>
          <w:rFonts w:hint="eastAsia" w:ascii="仿宋_GB2312" w:hAnsi="宋体" w:eastAsia="仿宋_GB2312" w:cs="仿宋_GB2312"/>
          <w:color w:val="auto"/>
          <w:sz w:val="32"/>
          <w:szCs w:val="32"/>
        </w:rPr>
        <w:t>。</w:t>
      </w:r>
    </w:p>
    <w:p>
      <w:pPr>
        <w:pStyle w:val="9"/>
        <w:spacing w:line="560" w:lineRule="exact"/>
        <w:ind w:firstLine="31680" w:firstLineChars="196"/>
        <w:rPr>
          <w:rFonts w:ascii="黑体" w:hAnsi="宋体" w:eastAsia="黑体" w:cs="Times New Roman"/>
          <w:color w:val="auto"/>
          <w:sz w:val="32"/>
          <w:szCs w:val="32"/>
        </w:rPr>
      </w:pPr>
      <w:r>
        <w:rPr>
          <w:rFonts w:hint="eastAsia" w:ascii="黑体" w:hAnsi="宋体" w:eastAsia="黑体" w:cs="黑体"/>
          <w:color w:val="auto"/>
          <w:sz w:val="32"/>
          <w:szCs w:val="32"/>
        </w:rPr>
        <w:t>三、关于</w:t>
      </w:r>
      <w:r>
        <w:rPr>
          <w:rFonts w:ascii="黑体" w:hAnsi="宋体" w:eastAsia="黑体" w:cs="黑体"/>
          <w:color w:val="auto"/>
          <w:sz w:val="32"/>
          <w:szCs w:val="32"/>
        </w:rPr>
        <w:t>2016</w:t>
      </w:r>
      <w:r>
        <w:rPr>
          <w:rFonts w:hint="eastAsia" w:ascii="黑体" w:hAnsi="宋体" w:eastAsia="黑体" w:cs="黑体"/>
          <w:color w:val="auto"/>
          <w:sz w:val="32"/>
          <w:szCs w:val="32"/>
        </w:rPr>
        <w:t>年度支出决算情况说明</w:t>
      </w:r>
    </w:p>
    <w:p>
      <w:pPr>
        <w:spacing w:line="560" w:lineRule="exact"/>
        <w:ind w:firstLine="31680" w:firstLineChars="192"/>
        <w:outlineLvl w:val="1"/>
        <w:rPr>
          <w:rFonts w:ascii="仿宋_GB2312" w:hAnsi="宋体" w:eastAsia="仿宋_GB2312"/>
          <w:kern w:val="0"/>
          <w:sz w:val="32"/>
          <w:szCs w:val="32"/>
        </w:rPr>
      </w:pPr>
      <w:r>
        <w:rPr>
          <w:rFonts w:hint="eastAsia" w:ascii="仿宋_GB2312" w:hAnsi="宋体" w:eastAsia="仿宋_GB2312" w:cs="仿宋_GB2312"/>
          <w:kern w:val="0"/>
          <w:sz w:val="32"/>
          <w:szCs w:val="32"/>
        </w:rPr>
        <w:t>本年支出总计</w:t>
      </w:r>
      <w:r>
        <w:rPr>
          <w:rFonts w:ascii="仿宋_GB2312" w:hAnsi="宋体" w:eastAsia="仿宋_GB2312" w:cs="仿宋_GB2312"/>
          <w:kern w:val="0"/>
          <w:sz w:val="32"/>
          <w:szCs w:val="32"/>
        </w:rPr>
        <w:t>184778.47</w:t>
      </w:r>
      <w:r>
        <w:rPr>
          <w:rFonts w:hint="eastAsia" w:ascii="仿宋_GB2312" w:hAnsi="宋体" w:eastAsia="仿宋_GB2312" w:cs="仿宋_GB2312"/>
          <w:kern w:val="0"/>
          <w:sz w:val="32"/>
          <w:szCs w:val="32"/>
        </w:rPr>
        <w:t>万元，其中：基本支出</w:t>
      </w:r>
      <w:r>
        <w:rPr>
          <w:rFonts w:ascii="仿宋_GB2312" w:hAnsi="宋体" w:eastAsia="仿宋_GB2312" w:cs="仿宋_GB2312"/>
          <w:kern w:val="0"/>
          <w:sz w:val="32"/>
          <w:szCs w:val="32"/>
        </w:rPr>
        <w:t>176183.51</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95.35%</w:t>
      </w:r>
      <w:r>
        <w:rPr>
          <w:rFonts w:hint="eastAsia" w:ascii="仿宋_GB2312" w:hAnsi="宋体" w:eastAsia="仿宋_GB2312" w:cs="仿宋_GB2312"/>
          <w:kern w:val="0"/>
          <w:sz w:val="32"/>
          <w:szCs w:val="32"/>
        </w:rPr>
        <w:t>；项目支出</w:t>
      </w:r>
      <w:r>
        <w:rPr>
          <w:rFonts w:ascii="仿宋_GB2312" w:hAnsi="宋体" w:eastAsia="仿宋_GB2312" w:cs="仿宋_GB2312"/>
          <w:kern w:val="0"/>
          <w:sz w:val="32"/>
          <w:szCs w:val="32"/>
        </w:rPr>
        <w:t>8594.96</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4.65%</w:t>
      </w:r>
      <w:r>
        <w:rPr>
          <w:rFonts w:hint="eastAsia" w:ascii="仿宋_GB2312" w:hAnsi="宋体" w:eastAsia="仿宋_GB2312" w:cs="仿宋_GB2312"/>
          <w:kern w:val="0"/>
          <w:sz w:val="32"/>
          <w:szCs w:val="32"/>
        </w:rPr>
        <w:t>。</w:t>
      </w:r>
    </w:p>
    <w:p>
      <w:pPr>
        <w:spacing w:line="560" w:lineRule="exact"/>
        <w:ind w:firstLine="31680" w:firstLineChars="196"/>
        <w:outlineLvl w:val="1"/>
        <w:rPr>
          <w:rFonts w:ascii="黑体" w:hAnsi="宋体" w:eastAsia="黑体"/>
          <w:kern w:val="0"/>
          <w:sz w:val="32"/>
          <w:szCs w:val="32"/>
        </w:rPr>
      </w:pPr>
      <w:r>
        <w:rPr>
          <w:rFonts w:hint="eastAsia" w:ascii="黑体" w:hAnsi="宋体" w:eastAsia="黑体" w:cs="黑体"/>
          <w:kern w:val="0"/>
          <w:sz w:val="32"/>
          <w:szCs w:val="32"/>
        </w:rPr>
        <w:t>四、关于</w:t>
      </w:r>
      <w:r>
        <w:rPr>
          <w:rFonts w:ascii="黑体" w:hAnsi="宋体" w:eastAsia="黑体" w:cs="黑体"/>
          <w:kern w:val="0"/>
          <w:sz w:val="32"/>
          <w:szCs w:val="32"/>
        </w:rPr>
        <w:t>2016</w:t>
      </w:r>
      <w:r>
        <w:rPr>
          <w:rFonts w:hint="eastAsia" w:ascii="黑体" w:hAnsi="宋体" w:eastAsia="黑体" w:cs="黑体"/>
          <w:kern w:val="0"/>
          <w:sz w:val="32"/>
          <w:szCs w:val="32"/>
        </w:rPr>
        <w:t>年度财政拨款收入支出决算总体情况说明</w:t>
      </w:r>
    </w:p>
    <w:p>
      <w:pPr>
        <w:spacing w:line="560" w:lineRule="exact"/>
        <w:outlineLvl w:val="1"/>
        <w:rPr>
          <w:rFonts w:ascii="仿宋_GB2312" w:hAnsi="宋体" w:eastAsia="仿宋_GB2312"/>
          <w:kern w:val="0"/>
          <w:sz w:val="32"/>
          <w:szCs w:val="32"/>
        </w:rPr>
      </w:pPr>
      <w:r>
        <w:rPr>
          <w:rFonts w:ascii="仿宋_GB2312" w:hAnsi="宋体" w:eastAsia="仿宋_GB2312" w:cs="仿宋_GB2312"/>
          <w:kern w:val="0"/>
          <w:sz w:val="32"/>
          <w:szCs w:val="32"/>
        </w:rPr>
        <w:t xml:space="preserve">    2016 </w:t>
      </w:r>
      <w:r>
        <w:rPr>
          <w:rFonts w:hint="eastAsia" w:ascii="仿宋_GB2312" w:hAnsi="宋体" w:eastAsia="仿宋_GB2312" w:cs="仿宋_GB2312"/>
          <w:kern w:val="0"/>
          <w:sz w:val="32"/>
          <w:szCs w:val="32"/>
        </w:rPr>
        <w:t>年度财政拨款收入</w:t>
      </w:r>
      <w:r>
        <w:rPr>
          <w:rFonts w:ascii="仿宋_GB2312" w:hAnsi="宋体" w:eastAsia="仿宋_GB2312" w:cs="仿宋_GB2312"/>
          <w:kern w:val="0"/>
          <w:sz w:val="32"/>
          <w:szCs w:val="32"/>
        </w:rPr>
        <w:t>14719.37</w:t>
      </w:r>
      <w:r>
        <w:rPr>
          <w:rFonts w:hint="eastAsia" w:ascii="仿宋_GB2312" w:hAnsi="宋体" w:eastAsia="仿宋_GB2312" w:cs="仿宋_GB2312"/>
          <w:kern w:val="0"/>
          <w:sz w:val="32"/>
          <w:szCs w:val="32"/>
        </w:rPr>
        <w:t>万元，财政拨款支出</w:t>
      </w:r>
      <w:r>
        <w:rPr>
          <w:rFonts w:ascii="仿宋_GB2312" w:hAnsi="宋体" w:eastAsia="仿宋_GB2312" w:cs="仿宋_GB2312"/>
          <w:kern w:val="0"/>
          <w:sz w:val="32"/>
          <w:szCs w:val="32"/>
        </w:rPr>
        <w:t>15936. 09</w:t>
      </w:r>
      <w:r>
        <w:rPr>
          <w:rFonts w:hint="eastAsia" w:ascii="仿宋_GB2312" w:hAnsi="宋体" w:eastAsia="仿宋_GB2312" w:cs="仿宋_GB2312"/>
          <w:kern w:val="0"/>
          <w:sz w:val="32"/>
          <w:szCs w:val="32"/>
        </w:rPr>
        <w:t>万元。与</w:t>
      </w:r>
      <w:r>
        <w:rPr>
          <w:rFonts w:ascii="仿宋_GB2312" w:hAnsi="宋体" w:eastAsia="仿宋_GB2312" w:cs="仿宋_GB2312"/>
          <w:kern w:val="0"/>
          <w:sz w:val="32"/>
          <w:szCs w:val="32"/>
        </w:rPr>
        <w:t>2015</w:t>
      </w:r>
      <w:r>
        <w:rPr>
          <w:rFonts w:hint="eastAsia" w:ascii="仿宋_GB2312" w:hAnsi="宋体" w:eastAsia="仿宋_GB2312" w:cs="仿宋_GB2312"/>
          <w:kern w:val="0"/>
          <w:sz w:val="32"/>
          <w:szCs w:val="32"/>
        </w:rPr>
        <w:t>年相比，财政拨款收入减少</w:t>
      </w:r>
      <w:r>
        <w:rPr>
          <w:rFonts w:ascii="仿宋_GB2312" w:hAnsi="宋体" w:eastAsia="仿宋_GB2312" w:cs="仿宋_GB2312"/>
          <w:kern w:val="0"/>
          <w:sz w:val="32"/>
          <w:szCs w:val="32"/>
        </w:rPr>
        <w:t>7523.03</w:t>
      </w:r>
      <w:r>
        <w:rPr>
          <w:rFonts w:hint="eastAsia" w:ascii="仿宋_GB2312" w:hAnsi="宋体" w:eastAsia="仿宋_GB2312" w:cs="仿宋_GB2312"/>
          <w:kern w:val="0"/>
          <w:sz w:val="32"/>
          <w:szCs w:val="32"/>
        </w:rPr>
        <w:t>万元，下降</w:t>
      </w:r>
      <w:r>
        <w:rPr>
          <w:rFonts w:ascii="仿宋_GB2312" w:hAnsi="宋体" w:eastAsia="仿宋_GB2312" w:cs="仿宋_GB2312"/>
          <w:kern w:val="0"/>
          <w:sz w:val="32"/>
          <w:szCs w:val="32"/>
        </w:rPr>
        <w:t>33.82%</w:t>
      </w:r>
      <w:r>
        <w:rPr>
          <w:rFonts w:hint="eastAsia" w:ascii="仿宋_GB2312" w:hAnsi="宋体" w:eastAsia="仿宋_GB2312" w:cs="仿宋_GB2312"/>
          <w:kern w:val="0"/>
          <w:sz w:val="32"/>
          <w:szCs w:val="32"/>
        </w:rPr>
        <w:t>；财政拨款支出增加</w:t>
      </w:r>
      <w:r>
        <w:rPr>
          <w:rFonts w:ascii="仿宋_GB2312" w:hAnsi="宋体" w:eastAsia="仿宋_GB2312" w:cs="仿宋_GB2312"/>
          <w:kern w:val="0"/>
          <w:sz w:val="32"/>
          <w:szCs w:val="32"/>
        </w:rPr>
        <w:t>5257.13</w:t>
      </w:r>
      <w:r>
        <w:rPr>
          <w:rFonts w:hint="eastAsia" w:ascii="仿宋_GB2312" w:hAnsi="宋体" w:eastAsia="仿宋_GB2312" w:cs="仿宋_GB2312"/>
          <w:kern w:val="0"/>
          <w:sz w:val="32"/>
          <w:szCs w:val="32"/>
        </w:rPr>
        <w:t>万元，增长</w:t>
      </w:r>
      <w:r>
        <w:rPr>
          <w:rFonts w:ascii="仿宋_GB2312" w:hAnsi="宋体" w:eastAsia="仿宋_GB2312" w:cs="仿宋_GB2312"/>
          <w:kern w:val="0"/>
          <w:sz w:val="32"/>
          <w:szCs w:val="32"/>
        </w:rPr>
        <w:t>49.23%</w:t>
      </w:r>
      <w:r>
        <w:rPr>
          <w:rFonts w:hint="eastAsia" w:ascii="仿宋_GB2312" w:hAnsi="宋体" w:eastAsia="仿宋_GB2312" w:cs="仿宋_GB2312"/>
          <w:kern w:val="0"/>
          <w:sz w:val="32"/>
          <w:szCs w:val="32"/>
        </w:rPr>
        <w:t>。</w:t>
      </w:r>
    </w:p>
    <w:p>
      <w:pPr>
        <w:spacing w:line="560" w:lineRule="exact"/>
        <w:ind w:firstLine="31680" w:firstLineChars="200"/>
        <w:outlineLvl w:val="1"/>
        <w:rPr>
          <w:rFonts w:ascii="黑体" w:hAnsi="宋体" w:eastAsia="黑体"/>
          <w:kern w:val="0"/>
          <w:sz w:val="32"/>
          <w:szCs w:val="32"/>
        </w:rPr>
      </w:pPr>
      <w:r>
        <w:rPr>
          <w:rFonts w:hint="eastAsia" w:ascii="黑体" w:hAnsi="宋体" w:eastAsia="黑体" w:cs="黑体"/>
          <w:kern w:val="0"/>
          <w:sz w:val="32"/>
          <w:szCs w:val="32"/>
        </w:rPr>
        <w:t>五、关于</w:t>
      </w:r>
      <w:r>
        <w:rPr>
          <w:rFonts w:ascii="黑体" w:hAnsi="宋体" w:eastAsia="黑体" w:cs="黑体"/>
          <w:kern w:val="0"/>
          <w:sz w:val="32"/>
          <w:szCs w:val="32"/>
        </w:rPr>
        <w:t>2016</w:t>
      </w:r>
      <w:r>
        <w:rPr>
          <w:rFonts w:hint="eastAsia" w:ascii="黑体" w:hAnsi="宋体" w:eastAsia="黑体" w:cs="黑体"/>
          <w:kern w:val="0"/>
          <w:sz w:val="32"/>
          <w:szCs w:val="32"/>
        </w:rPr>
        <w:t>年度一般公共预算财政拨款支出决算情况说明</w:t>
      </w:r>
    </w:p>
    <w:p>
      <w:pPr>
        <w:spacing w:line="560" w:lineRule="exact"/>
        <w:ind w:firstLine="31680" w:firstLineChars="200"/>
        <w:rPr>
          <w:rFonts w:ascii="仿宋_GB2312" w:hAnsi="宋体" w:eastAsia="仿宋_GB2312"/>
          <w:kern w:val="0"/>
          <w:sz w:val="32"/>
          <w:szCs w:val="32"/>
        </w:rPr>
      </w:pPr>
      <w:r>
        <w:rPr>
          <w:rFonts w:hint="eastAsia" w:ascii="楷体_GB2312" w:hAnsi="宋体" w:eastAsia="楷体_GB2312" w:cs="楷体_GB2312"/>
          <w:b/>
          <w:bCs/>
          <w:kern w:val="0"/>
          <w:sz w:val="32"/>
          <w:szCs w:val="32"/>
        </w:rPr>
        <w:t>（一）财政拨款支出决算总体情况</w:t>
      </w:r>
      <w:r>
        <w:rPr>
          <w:rFonts w:hint="eastAsia" w:ascii="仿宋_GB2312" w:hAnsi="宋体" w:eastAsia="仿宋_GB2312" w:cs="仿宋_GB2312"/>
          <w:b/>
          <w:bCs/>
          <w:kern w:val="0"/>
          <w:sz w:val="32"/>
          <w:szCs w:val="32"/>
        </w:rPr>
        <w:t>。</w:t>
      </w: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年度财政拨款支出</w:t>
      </w:r>
      <w:r>
        <w:rPr>
          <w:rFonts w:ascii="仿宋_GB2312" w:hAnsi="宋体" w:eastAsia="仿宋_GB2312" w:cs="仿宋_GB2312"/>
          <w:kern w:val="0"/>
          <w:sz w:val="32"/>
          <w:szCs w:val="32"/>
        </w:rPr>
        <w:t>15936.09</w:t>
      </w:r>
      <w:r>
        <w:rPr>
          <w:rFonts w:hint="eastAsia" w:ascii="仿宋_GB2312" w:hAnsi="宋体" w:eastAsia="仿宋_GB2312" w:cs="仿宋_GB2312"/>
          <w:kern w:val="0"/>
          <w:sz w:val="32"/>
          <w:szCs w:val="32"/>
        </w:rPr>
        <w:t>万元，占本年支出合计的</w:t>
      </w:r>
      <w:r>
        <w:rPr>
          <w:rFonts w:ascii="仿宋_GB2312" w:hAnsi="宋体" w:eastAsia="仿宋_GB2312" w:cs="仿宋_GB2312"/>
          <w:kern w:val="0"/>
          <w:sz w:val="32"/>
          <w:szCs w:val="32"/>
        </w:rPr>
        <w:t>8.62%</w:t>
      </w:r>
      <w:r>
        <w:rPr>
          <w:rFonts w:hint="eastAsia" w:ascii="仿宋_GB2312" w:hAnsi="宋体" w:eastAsia="仿宋_GB2312" w:cs="仿宋_GB2312"/>
          <w:kern w:val="0"/>
          <w:sz w:val="32"/>
          <w:szCs w:val="32"/>
        </w:rPr>
        <w:t>。与</w:t>
      </w:r>
      <w:r>
        <w:rPr>
          <w:rFonts w:ascii="仿宋_GB2312" w:hAnsi="宋体" w:eastAsia="仿宋_GB2312" w:cs="仿宋_GB2312"/>
          <w:kern w:val="0"/>
          <w:sz w:val="32"/>
          <w:szCs w:val="32"/>
        </w:rPr>
        <w:t>2015</w:t>
      </w:r>
      <w:r>
        <w:rPr>
          <w:rFonts w:hint="eastAsia" w:ascii="仿宋_GB2312" w:hAnsi="宋体" w:eastAsia="仿宋_GB2312" w:cs="仿宋_GB2312"/>
          <w:kern w:val="0"/>
          <w:sz w:val="32"/>
          <w:szCs w:val="32"/>
        </w:rPr>
        <w:t>年相比，财政拨款支出增加</w:t>
      </w:r>
      <w:r>
        <w:rPr>
          <w:rFonts w:ascii="仿宋_GB2312" w:hAnsi="宋体" w:eastAsia="仿宋_GB2312" w:cs="仿宋_GB2312"/>
          <w:kern w:val="0"/>
          <w:sz w:val="32"/>
          <w:szCs w:val="32"/>
        </w:rPr>
        <w:t>5257.13</w:t>
      </w:r>
      <w:r>
        <w:rPr>
          <w:rFonts w:hint="eastAsia" w:ascii="仿宋_GB2312" w:hAnsi="宋体" w:eastAsia="仿宋_GB2312" w:cs="仿宋_GB2312"/>
          <w:kern w:val="0"/>
          <w:sz w:val="32"/>
          <w:szCs w:val="32"/>
        </w:rPr>
        <w:t>万元，增长</w:t>
      </w:r>
      <w:r>
        <w:rPr>
          <w:rFonts w:ascii="仿宋_GB2312" w:hAnsi="宋体" w:eastAsia="仿宋_GB2312" w:cs="仿宋_GB2312"/>
          <w:kern w:val="0"/>
          <w:sz w:val="32"/>
          <w:szCs w:val="32"/>
        </w:rPr>
        <w:t>49.23%</w:t>
      </w:r>
      <w:r>
        <w:rPr>
          <w:rFonts w:hint="eastAsia" w:ascii="仿宋_GB2312" w:hAnsi="宋体" w:eastAsia="仿宋_GB2312" w:cs="仿宋_GB2312"/>
          <w:kern w:val="0"/>
          <w:sz w:val="32"/>
          <w:szCs w:val="32"/>
        </w:rPr>
        <w:t>。</w:t>
      </w:r>
    </w:p>
    <w:p>
      <w:pPr>
        <w:spacing w:line="560" w:lineRule="exact"/>
        <w:ind w:firstLine="31680" w:firstLineChars="204"/>
        <w:rPr>
          <w:rFonts w:ascii="仿宋_GB2312" w:hAnsi="宋体" w:eastAsia="仿宋_GB2312"/>
          <w:b/>
          <w:bCs/>
          <w:kern w:val="0"/>
          <w:sz w:val="32"/>
          <w:szCs w:val="32"/>
        </w:rPr>
      </w:pPr>
      <w:r>
        <w:rPr>
          <w:rFonts w:hint="eastAsia" w:ascii="楷体_GB2312" w:hAnsi="宋体" w:eastAsia="楷体_GB2312" w:cs="楷体_GB2312"/>
          <w:b/>
          <w:bCs/>
          <w:kern w:val="0"/>
          <w:sz w:val="32"/>
          <w:szCs w:val="32"/>
        </w:rPr>
        <w:t>（二）财政拨款支出决算结构情况</w:t>
      </w:r>
      <w:r>
        <w:rPr>
          <w:rFonts w:hint="eastAsia" w:ascii="仿宋_GB2312" w:hAnsi="宋体" w:eastAsia="仿宋_GB2312" w:cs="仿宋_GB2312"/>
          <w:b/>
          <w:bCs/>
          <w:kern w:val="0"/>
          <w:sz w:val="32"/>
          <w:szCs w:val="32"/>
        </w:rPr>
        <w:t>。</w:t>
      </w: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年度财政拨款支出</w:t>
      </w:r>
      <w:r>
        <w:rPr>
          <w:rFonts w:ascii="仿宋_GB2312" w:hAnsi="宋体" w:eastAsia="仿宋_GB2312" w:cs="仿宋_GB2312"/>
          <w:kern w:val="0"/>
          <w:sz w:val="32"/>
          <w:szCs w:val="32"/>
        </w:rPr>
        <w:t>15936.09</w:t>
      </w:r>
      <w:r>
        <w:rPr>
          <w:rFonts w:hint="eastAsia" w:ascii="仿宋_GB2312" w:hAnsi="宋体" w:eastAsia="仿宋_GB2312" w:cs="仿宋_GB2312"/>
          <w:kern w:val="0"/>
          <w:sz w:val="32"/>
          <w:szCs w:val="32"/>
        </w:rPr>
        <w:t>万元，按支出功能分类，一般公共服务（类）支出</w:t>
      </w:r>
      <w:r>
        <w:rPr>
          <w:rFonts w:ascii="仿宋_GB2312" w:hAnsi="宋体" w:eastAsia="仿宋_GB2312" w:cs="仿宋_GB2312"/>
          <w:kern w:val="0"/>
          <w:sz w:val="32"/>
          <w:szCs w:val="32"/>
        </w:rPr>
        <w:t>161.49</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1.01%</w:t>
      </w:r>
      <w:r>
        <w:rPr>
          <w:rFonts w:hint="eastAsia" w:ascii="仿宋_GB2312" w:hAnsi="宋体" w:eastAsia="仿宋_GB2312" w:cs="仿宋_GB2312"/>
          <w:kern w:val="0"/>
          <w:sz w:val="32"/>
          <w:szCs w:val="32"/>
        </w:rPr>
        <w:t>；教育（类）支出</w:t>
      </w:r>
      <w:r>
        <w:rPr>
          <w:rFonts w:ascii="仿宋_GB2312" w:hAnsi="宋体" w:eastAsia="仿宋_GB2312" w:cs="仿宋_GB2312"/>
          <w:kern w:val="0"/>
          <w:sz w:val="32"/>
          <w:szCs w:val="32"/>
        </w:rPr>
        <w:t>4.82</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0.03%</w:t>
      </w:r>
      <w:r>
        <w:rPr>
          <w:rFonts w:hint="eastAsia" w:ascii="仿宋_GB2312" w:hAnsi="宋体" w:eastAsia="仿宋_GB2312" w:cs="仿宋_GB2312"/>
          <w:kern w:val="0"/>
          <w:sz w:val="32"/>
          <w:szCs w:val="32"/>
        </w:rPr>
        <w:t>；科学技术（类）支出</w:t>
      </w:r>
      <w:r>
        <w:rPr>
          <w:rFonts w:ascii="仿宋_GB2312" w:hAnsi="宋体" w:eastAsia="仿宋_GB2312" w:cs="仿宋_GB2312"/>
          <w:kern w:val="0"/>
          <w:sz w:val="32"/>
          <w:szCs w:val="32"/>
        </w:rPr>
        <w:t>338.25</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2.12%</w:t>
      </w:r>
      <w:r>
        <w:rPr>
          <w:rFonts w:hint="eastAsia" w:ascii="仿宋_GB2312" w:hAnsi="宋体" w:eastAsia="仿宋_GB2312" w:cs="仿宋_GB2312"/>
          <w:kern w:val="0"/>
          <w:sz w:val="32"/>
          <w:szCs w:val="32"/>
        </w:rPr>
        <w:t>；社会保障和就业（类）支出</w:t>
      </w:r>
      <w:r>
        <w:rPr>
          <w:rFonts w:ascii="仿宋_GB2312" w:hAnsi="宋体" w:eastAsia="仿宋_GB2312" w:cs="仿宋_GB2312"/>
          <w:kern w:val="0"/>
          <w:sz w:val="32"/>
          <w:szCs w:val="32"/>
        </w:rPr>
        <w:t>2821.80</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17.71%</w:t>
      </w:r>
      <w:r>
        <w:rPr>
          <w:rFonts w:hint="eastAsia" w:ascii="仿宋_GB2312" w:hAnsi="宋体" w:eastAsia="仿宋_GB2312" w:cs="仿宋_GB2312"/>
          <w:kern w:val="0"/>
          <w:sz w:val="32"/>
          <w:szCs w:val="32"/>
        </w:rPr>
        <w:t>；医疗卫生与计划生育支出（类）支出</w:t>
      </w:r>
      <w:r>
        <w:rPr>
          <w:rFonts w:ascii="仿宋_GB2312" w:hAnsi="宋体" w:eastAsia="仿宋_GB2312" w:cs="仿宋_GB2312"/>
          <w:kern w:val="0"/>
          <w:sz w:val="32"/>
          <w:szCs w:val="32"/>
        </w:rPr>
        <w:t>11658.57</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73.16%</w:t>
      </w:r>
      <w:r>
        <w:rPr>
          <w:rFonts w:hint="eastAsia" w:ascii="仿宋_GB2312" w:hAnsi="宋体" w:eastAsia="仿宋_GB2312" w:cs="仿宋_GB2312"/>
          <w:kern w:val="0"/>
          <w:sz w:val="32"/>
          <w:szCs w:val="32"/>
        </w:rPr>
        <w:t>；农林水（类）支出</w:t>
      </w:r>
      <w:r>
        <w:rPr>
          <w:rFonts w:ascii="仿宋_GB2312" w:hAnsi="宋体" w:eastAsia="仿宋_GB2312" w:cs="仿宋_GB2312"/>
          <w:kern w:val="0"/>
          <w:sz w:val="32"/>
          <w:szCs w:val="32"/>
        </w:rPr>
        <w:t>20.43</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0.13%</w:t>
      </w:r>
      <w:r>
        <w:rPr>
          <w:rFonts w:hint="eastAsia" w:ascii="仿宋_GB2312" w:hAnsi="宋体" w:eastAsia="仿宋_GB2312" w:cs="仿宋_GB2312"/>
          <w:kern w:val="0"/>
          <w:sz w:val="32"/>
          <w:szCs w:val="32"/>
        </w:rPr>
        <w:t>；住房保障（类）支出</w:t>
      </w:r>
      <w:r>
        <w:rPr>
          <w:rFonts w:ascii="仿宋_GB2312" w:hAnsi="宋体" w:eastAsia="仿宋_GB2312" w:cs="仿宋_GB2312"/>
          <w:kern w:val="0"/>
          <w:sz w:val="32"/>
          <w:szCs w:val="32"/>
        </w:rPr>
        <w:t>930.73</w:t>
      </w:r>
      <w:r>
        <w:rPr>
          <w:rFonts w:hint="eastAsia" w:ascii="仿宋_GB2312" w:hAnsi="宋体" w:eastAsia="仿宋_GB2312" w:cs="仿宋_GB2312"/>
          <w:kern w:val="0"/>
          <w:sz w:val="32"/>
          <w:szCs w:val="32"/>
        </w:rPr>
        <w:t>万元，占</w:t>
      </w:r>
      <w:r>
        <w:rPr>
          <w:rFonts w:ascii="仿宋_GB2312" w:hAnsi="宋体" w:eastAsia="仿宋_GB2312" w:cs="仿宋_GB2312"/>
          <w:kern w:val="0"/>
          <w:sz w:val="32"/>
          <w:szCs w:val="32"/>
        </w:rPr>
        <w:t>5.84%</w:t>
      </w:r>
      <w:r>
        <w:rPr>
          <w:rFonts w:hint="eastAsia" w:ascii="仿宋_GB2312" w:hAnsi="宋体" w:eastAsia="仿宋_GB2312" w:cs="仿宋_GB2312"/>
          <w:kern w:val="0"/>
          <w:sz w:val="32"/>
          <w:szCs w:val="32"/>
        </w:rPr>
        <w:t>。</w:t>
      </w:r>
    </w:p>
    <w:p>
      <w:pPr>
        <w:spacing w:line="560" w:lineRule="exact"/>
        <w:ind w:firstLine="31680" w:firstLineChars="191"/>
        <w:rPr>
          <w:rFonts w:ascii="仿宋_GB2312" w:hAnsi="宋体" w:eastAsia="仿宋_GB2312"/>
          <w:kern w:val="0"/>
          <w:sz w:val="32"/>
          <w:szCs w:val="32"/>
        </w:rPr>
      </w:pPr>
      <w:r>
        <w:rPr>
          <w:rFonts w:hint="eastAsia" w:ascii="楷体_GB2312" w:hAnsi="宋体" w:eastAsia="楷体_GB2312" w:cs="楷体_GB2312"/>
          <w:b/>
          <w:bCs/>
          <w:kern w:val="0"/>
          <w:sz w:val="32"/>
          <w:szCs w:val="32"/>
        </w:rPr>
        <w:t>（三）财政拨款支出决算具体情况。</w:t>
      </w: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年度财政拨款支出年初预算为</w:t>
      </w:r>
      <w:r>
        <w:rPr>
          <w:rFonts w:ascii="仿宋_GB2312" w:hAnsi="宋体" w:eastAsia="仿宋_GB2312" w:cs="仿宋_GB2312"/>
          <w:kern w:val="0"/>
          <w:sz w:val="32"/>
          <w:szCs w:val="32"/>
        </w:rPr>
        <w:t>7753.57</w:t>
      </w:r>
      <w:r>
        <w:rPr>
          <w:rFonts w:hint="eastAsia" w:ascii="仿宋_GB2312" w:hAnsi="宋体" w:eastAsia="仿宋_GB2312" w:cs="仿宋_GB2312"/>
          <w:kern w:val="0"/>
          <w:sz w:val="32"/>
          <w:szCs w:val="32"/>
        </w:rPr>
        <w:t>万元，支出决算为</w:t>
      </w:r>
      <w:r>
        <w:rPr>
          <w:rFonts w:ascii="仿宋_GB2312" w:hAnsi="宋体" w:eastAsia="仿宋_GB2312" w:cs="仿宋_GB2312"/>
          <w:kern w:val="0"/>
          <w:sz w:val="32"/>
          <w:szCs w:val="32"/>
        </w:rPr>
        <w:t>15936.09</w:t>
      </w:r>
      <w:r>
        <w:rPr>
          <w:rFonts w:hint="eastAsia" w:ascii="仿宋_GB2312" w:hAnsi="宋体" w:eastAsia="仿宋_GB2312" w:cs="仿宋_GB2312"/>
          <w:kern w:val="0"/>
          <w:sz w:val="32"/>
          <w:szCs w:val="32"/>
        </w:rPr>
        <w:t>万元，完成年初预算的</w:t>
      </w:r>
      <w:r>
        <w:rPr>
          <w:rFonts w:ascii="仿宋_GB2312" w:hAnsi="宋体" w:eastAsia="仿宋_GB2312" w:cs="仿宋_GB2312"/>
          <w:kern w:val="0"/>
          <w:sz w:val="32"/>
          <w:szCs w:val="32"/>
        </w:rPr>
        <w:t>205.53%</w:t>
      </w:r>
      <w:r>
        <w:rPr>
          <w:rFonts w:hint="eastAsia" w:ascii="仿宋_GB2312" w:hAnsi="宋体" w:eastAsia="仿宋_GB2312" w:cs="仿宋_GB2312"/>
          <w:kern w:val="0"/>
          <w:sz w:val="32"/>
          <w:szCs w:val="32"/>
        </w:rPr>
        <w:t>。决算数大于预算数的主要原因是</w:t>
      </w:r>
    </w:p>
    <w:p>
      <w:pPr>
        <w:spacing w:line="560" w:lineRule="exact"/>
        <w:rPr>
          <w:rFonts w:ascii="仿宋_GB2312" w:hAnsi="宋体" w:eastAsia="仿宋_GB2312" w:cs="仿宋_GB2312"/>
          <w:b/>
          <w:bCs/>
          <w:color w:val="FF0000"/>
          <w:kern w:val="0"/>
          <w:sz w:val="32"/>
          <w:szCs w:val="32"/>
        </w:rPr>
      </w:pP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年支出决算数包含以前年度财政项目补助结转支出。</w:t>
      </w:r>
      <w:r>
        <w:rPr>
          <w:rFonts w:ascii="仿宋_GB2312" w:hAnsi="宋体" w:eastAsia="仿宋_GB2312" w:cs="仿宋_GB2312"/>
          <w:b/>
          <w:bCs/>
          <w:color w:val="FF0000"/>
          <w:kern w:val="0"/>
          <w:sz w:val="32"/>
          <w:szCs w:val="32"/>
        </w:rPr>
        <w:t xml:space="preserve"> </w:t>
      </w:r>
    </w:p>
    <w:p>
      <w:pPr>
        <w:spacing w:line="560" w:lineRule="exact"/>
        <w:ind w:firstLine="31680" w:firstLineChars="196"/>
        <w:rPr>
          <w:rFonts w:ascii="黑体" w:hAnsi="仿宋" w:eastAsia="黑体"/>
          <w:sz w:val="32"/>
          <w:szCs w:val="32"/>
        </w:rPr>
      </w:pPr>
      <w:r>
        <w:rPr>
          <w:rFonts w:hint="eastAsia" w:ascii="黑体" w:hAnsi="宋体" w:eastAsia="黑体" w:cs="黑体"/>
          <w:kern w:val="0"/>
          <w:sz w:val="32"/>
          <w:szCs w:val="32"/>
        </w:rPr>
        <w:t>六、关于</w:t>
      </w:r>
      <w:r>
        <w:rPr>
          <w:rFonts w:ascii="黑体" w:hAnsi="宋体" w:eastAsia="黑体" w:cs="黑体"/>
          <w:kern w:val="0"/>
          <w:sz w:val="32"/>
          <w:szCs w:val="32"/>
        </w:rPr>
        <w:t>2016</w:t>
      </w:r>
      <w:r>
        <w:rPr>
          <w:rFonts w:hint="eastAsia" w:ascii="黑体" w:hAnsi="宋体" w:eastAsia="黑体" w:cs="黑体"/>
          <w:kern w:val="0"/>
          <w:sz w:val="32"/>
          <w:szCs w:val="32"/>
        </w:rPr>
        <w:t>年度一般公共预算财政拨款基本支出决算情况说明</w:t>
      </w:r>
      <w:r>
        <w:rPr>
          <w:rFonts w:hint="eastAsia" w:ascii="黑体" w:hAnsi="仿宋" w:eastAsia="黑体" w:cs="黑体"/>
          <w:sz w:val="32"/>
          <w:szCs w:val="32"/>
        </w:rPr>
        <w:t>（按经济分类填列到款级科目）</w:t>
      </w:r>
    </w:p>
    <w:p>
      <w:pPr>
        <w:pStyle w:val="9"/>
        <w:spacing w:line="560" w:lineRule="exact"/>
        <w:ind w:firstLine="31680" w:firstLineChars="200"/>
        <w:rPr>
          <w:rFonts w:ascii="仿宋_GB2312" w:hAnsi="宋体" w:eastAsia="仿宋_GB2312" w:cs="Times New Roman"/>
          <w:color w:val="auto"/>
          <w:sz w:val="32"/>
          <w:szCs w:val="32"/>
        </w:rPr>
      </w:pPr>
      <w:r>
        <w:rPr>
          <w:rFonts w:ascii="仿宋_GB2312" w:hAnsi="宋体" w:eastAsia="仿宋_GB2312" w:cs="仿宋_GB2312"/>
          <w:color w:val="auto"/>
          <w:sz w:val="32"/>
          <w:szCs w:val="32"/>
        </w:rPr>
        <w:t>2</w:t>
      </w:r>
      <w:r>
        <w:rPr>
          <w:rFonts w:ascii="仿宋_GB2312" w:hAnsi="宋体" w:eastAsia="仿宋_GB2312" w:cs="仿宋_GB2312"/>
          <w:color w:val="auto"/>
          <w:sz w:val="32"/>
          <w:szCs w:val="32"/>
        </w:rPr>
        <w:t>016</w:t>
      </w:r>
      <w:r>
        <w:rPr>
          <w:rFonts w:hint="eastAsia" w:ascii="仿宋_GB2312" w:hAnsi="宋体" w:eastAsia="仿宋_GB2312" w:cs="仿宋_GB2312"/>
          <w:color w:val="auto"/>
          <w:sz w:val="32"/>
          <w:szCs w:val="32"/>
        </w:rPr>
        <w:t>年度一般公共预算财政拨款基本支出</w:t>
      </w:r>
      <w:r>
        <w:rPr>
          <w:rFonts w:ascii="仿宋_GB2312" w:hAnsi="宋体" w:eastAsia="仿宋_GB2312" w:cs="仿宋_GB2312"/>
          <w:color w:val="auto"/>
          <w:sz w:val="32"/>
          <w:szCs w:val="32"/>
        </w:rPr>
        <w:t>7614.68</w:t>
      </w:r>
      <w:r>
        <w:rPr>
          <w:rFonts w:hint="eastAsia" w:ascii="仿宋_GB2312" w:hAnsi="宋体" w:eastAsia="仿宋_GB2312" w:cs="仿宋_GB2312"/>
          <w:color w:val="auto"/>
          <w:sz w:val="32"/>
          <w:szCs w:val="32"/>
        </w:rPr>
        <w:t>万元，均为</w:t>
      </w:r>
      <w:r>
        <w:rPr>
          <w:rFonts w:hint="eastAsia" w:ascii="仿宋_GB2312" w:hAnsi="宋体" w:eastAsia="仿宋_GB2312" w:cs="仿宋_GB2312"/>
          <w:color w:val="auto"/>
          <w:sz w:val="32"/>
          <w:szCs w:val="32"/>
          <w:lang w:val="en-US" w:eastAsia="zh-CN"/>
        </w:rPr>
        <w:t>在编</w:t>
      </w:r>
      <w:r>
        <w:rPr>
          <w:rFonts w:hint="eastAsia" w:ascii="仿宋_GB2312" w:hAnsi="宋体" w:eastAsia="仿宋_GB2312" w:cs="仿宋_GB2312"/>
          <w:color w:val="auto"/>
          <w:sz w:val="32"/>
          <w:szCs w:val="32"/>
        </w:rPr>
        <w:t>人员经费</w:t>
      </w:r>
      <w:r>
        <w:rPr>
          <w:rFonts w:hint="eastAsia" w:ascii="仿宋_GB2312" w:hAnsi="宋体" w:eastAsia="仿宋_GB2312" w:cs="仿宋_GB2312"/>
          <w:color w:val="auto"/>
          <w:sz w:val="32"/>
          <w:szCs w:val="32"/>
          <w:lang w:eastAsia="zh-CN"/>
        </w:rPr>
        <w:t>（</w:t>
      </w:r>
      <w:r>
        <w:rPr>
          <w:rFonts w:hint="eastAsia" w:ascii="仿宋_GB2312" w:hAnsi="宋体" w:eastAsia="仿宋_GB2312" w:cs="仿宋_GB2312"/>
          <w:color w:val="auto"/>
          <w:sz w:val="32"/>
          <w:szCs w:val="32"/>
          <w:lang w:val="en-US" w:eastAsia="zh-CN"/>
        </w:rPr>
        <w:t>在编</w:t>
      </w:r>
      <w:r>
        <w:rPr>
          <w:rFonts w:hint="eastAsia" w:ascii="仿宋_GB2312" w:hAnsi="宋体" w:eastAsia="仿宋_GB2312" w:cs="仿宋_GB2312"/>
          <w:color w:val="auto"/>
          <w:sz w:val="32"/>
          <w:szCs w:val="32"/>
        </w:rPr>
        <w:t>人员</w:t>
      </w:r>
      <w:r>
        <w:rPr>
          <w:rFonts w:hint="eastAsia" w:ascii="仿宋_GB2312" w:hAnsi="宋体" w:eastAsia="仿宋_GB2312" w:cs="仿宋_GB2312"/>
          <w:color w:val="auto"/>
          <w:sz w:val="32"/>
          <w:szCs w:val="32"/>
          <w:lang w:val="en-US" w:eastAsia="zh-CN"/>
        </w:rPr>
        <w:t>占期末职工总数38%，</w:t>
      </w:r>
      <w:r>
        <w:rPr>
          <w:rFonts w:hint="eastAsia" w:ascii="仿宋_GB2312" w:hAnsi="宋体" w:eastAsia="仿宋_GB2312" w:cs="仿宋_GB2312"/>
          <w:color w:val="auto"/>
          <w:sz w:val="32"/>
          <w:szCs w:val="32"/>
          <w:lang w:val="en-US" w:eastAsia="zh-CN"/>
        </w:rPr>
        <w:t>聘用制人员占期末职工总数62%）</w:t>
      </w:r>
      <w:r>
        <w:rPr>
          <w:rFonts w:hint="eastAsia" w:ascii="仿宋_GB2312" w:hAnsi="宋体" w:eastAsia="仿宋_GB2312" w:cs="仿宋_GB2312"/>
          <w:color w:val="auto"/>
          <w:sz w:val="32"/>
          <w:szCs w:val="32"/>
        </w:rPr>
        <w:t>，支出具体情况如下：</w:t>
      </w:r>
      <w:r>
        <w:rPr>
          <w:rFonts w:ascii="仿宋_GB2312" w:hAnsi="宋体" w:eastAsia="仿宋_GB2312" w:cs="仿宋_GB2312"/>
          <w:color w:val="auto"/>
          <w:sz w:val="32"/>
          <w:szCs w:val="32"/>
        </w:rPr>
        <w:t xml:space="preserve"> </w:t>
      </w:r>
    </w:p>
    <w:p>
      <w:pPr>
        <w:pStyle w:val="9"/>
        <w:spacing w:line="560" w:lineRule="exact"/>
        <w:ind w:firstLine="31680" w:firstLineChars="200"/>
        <w:rPr>
          <w:rFonts w:ascii="仿宋_GB2312" w:hAnsi="宋体" w:eastAsia="仿宋_GB2312" w:cs="Times New Roman"/>
          <w:color w:val="auto"/>
          <w:sz w:val="32"/>
          <w:szCs w:val="32"/>
        </w:rPr>
      </w:pPr>
      <w:r>
        <w:rPr>
          <w:rFonts w:ascii="仿宋_GB2312" w:hAnsi="宋体" w:eastAsia="仿宋_GB2312" w:cs="仿宋_GB2312"/>
          <w:color w:val="auto"/>
          <w:sz w:val="32"/>
          <w:szCs w:val="32"/>
        </w:rPr>
        <w:t>1.</w:t>
      </w:r>
      <w:r>
        <w:rPr>
          <w:rFonts w:hint="eastAsia" w:ascii="仿宋_GB2312" w:hAnsi="宋体" w:eastAsia="仿宋_GB2312" w:cs="仿宋_GB2312"/>
          <w:color w:val="auto"/>
          <w:sz w:val="32"/>
          <w:szCs w:val="32"/>
        </w:rPr>
        <w:t>工资福利支出</w:t>
      </w:r>
      <w:r>
        <w:rPr>
          <w:rFonts w:ascii="仿宋_GB2312" w:hAnsi="宋体" w:eastAsia="仿宋_GB2312" w:cs="仿宋_GB2312"/>
          <w:color w:val="auto"/>
          <w:sz w:val="32"/>
          <w:szCs w:val="32"/>
        </w:rPr>
        <w:t>5186.91</w:t>
      </w:r>
      <w:r>
        <w:rPr>
          <w:rFonts w:hint="eastAsia" w:ascii="仿宋_GB2312" w:hAnsi="宋体" w:eastAsia="仿宋_GB2312" w:cs="仿宋_GB2312"/>
          <w:color w:val="auto"/>
          <w:sz w:val="32"/>
          <w:szCs w:val="32"/>
        </w:rPr>
        <w:t>万元，较</w:t>
      </w:r>
      <w:r>
        <w:rPr>
          <w:rFonts w:ascii="仿宋_GB2312" w:hAnsi="宋体" w:eastAsia="仿宋_GB2312" w:cs="仿宋_GB2312"/>
          <w:color w:val="auto"/>
          <w:sz w:val="32"/>
          <w:szCs w:val="32"/>
        </w:rPr>
        <w:t>2016</w:t>
      </w:r>
      <w:r>
        <w:rPr>
          <w:rFonts w:hint="eastAsia" w:ascii="仿宋_GB2312" w:hAnsi="宋体" w:eastAsia="仿宋_GB2312" w:cs="仿宋_GB2312"/>
          <w:color w:val="auto"/>
          <w:sz w:val="32"/>
          <w:szCs w:val="32"/>
        </w:rPr>
        <w:t>年度年初预</w:t>
      </w:r>
      <w:r>
        <w:rPr>
          <w:rFonts w:hint="eastAsia" w:ascii="仿宋_GB2312" w:hAnsi="宋体" w:eastAsia="仿宋_GB2312" w:cs="仿宋_GB2312"/>
          <w:color w:val="auto"/>
          <w:sz w:val="32"/>
          <w:szCs w:val="32"/>
        </w:rPr>
        <w:t>算数增加</w:t>
      </w:r>
      <w:r>
        <w:rPr>
          <w:rFonts w:ascii="仿宋_GB2312" w:hAnsi="宋体" w:eastAsia="仿宋_GB2312" w:cs="仿宋_GB2312"/>
          <w:color w:val="auto"/>
          <w:sz w:val="32"/>
          <w:szCs w:val="32"/>
        </w:rPr>
        <w:t>332.54</w:t>
      </w:r>
      <w:r>
        <w:rPr>
          <w:rFonts w:hint="eastAsia" w:ascii="仿宋_GB2312" w:hAnsi="宋体" w:eastAsia="仿宋_GB2312" w:cs="仿宋_GB2312"/>
          <w:color w:val="auto"/>
          <w:sz w:val="32"/>
          <w:szCs w:val="32"/>
        </w:rPr>
        <w:t>万元，增长</w:t>
      </w:r>
      <w:r>
        <w:rPr>
          <w:rFonts w:ascii="仿宋_GB2312" w:hAnsi="宋体" w:eastAsia="仿宋_GB2312" w:cs="仿宋_GB2312"/>
          <w:color w:val="auto"/>
          <w:sz w:val="32"/>
          <w:szCs w:val="32"/>
        </w:rPr>
        <w:t>6.85%</w:t>
      </w:r>
      <w:r>
        <w:rPr>
          <w:rFonts w:hint="eastAsia" w:ascii="仿宋_GB2312" w:hAnsi="宋体" w:eastAsia="仿宋_GB2312" w:cs="仿宋_GB2312"/>
          <w:color w:val="auto"/>
          <w:sz w:val="32"/>
          <w:szCs w:val="32"/>
        </w:rPr>
        <w:t>，主要原因是</w:t>
      </w:r>
      <w:r>
        <w:rPr>
          <w:rFonts w:ascii="仿宋_GB2312" w:eastAsia="仿宋_GB2312" w:cs="仿宋_GB2312"/>
          <w:sz w:val="32"/>
          <w:szCs w:val="32"/>
        </w:rPr>
        <w:t>2016</w:t>
      </w:r>
      <w:r>
        <w:rPr>
          <w:rFonts w:hint="eastAsia" w:ascii="仿宋_GB2312" w:eastAsia="仿宋_GB2312" w:cs="仿宋_GB2312"/>
          <w:sz w:val="32"/>
          <w:szCs w:val="32"/>
        </w:rPr>
        <w:t>年机关事业单位在编人员开始缴纳养老及职业年金，年度执行中预算调增追加人员经费</w:t>
      </w:r>
      <w:r>
        <w:rPr>
          <w:rFonts w:ascii="仿宋_GB2312" w:eastAsia="仿宋_GB2312" w:cs="仿宋_GB2312"/>
          <w:sz w:val="32"/>
          <w:szCs w:val="32"/>
        </w:rPr>
        <w:t>861.11</w:t>
      </w:r>
      <w:r>
        <w:rPr>
          <w:rFonts w:hint="eastAsia" w:ascii="仿宋_GB2312" w:eastAsia="仿宋_GB2312" w:cs="仿宋_GB2312"/>
          <w:sz w:val="32"/>
          <w:szCs w:val="32"/>
        </w:rPr>
        <w:t>万元</w:t>
      </w:r>
      <w:r>
        <w:rPr>
          <w:rFonts w:hint="eastAsia" w:ascii="仿宋_GB2312" w:hAnsi="宋体" w:eastAsia="仿宋_GB2312" w:cs="仿宋_GB2312"/>
          <w:color w:val="auto"/>
          <w:sz w:val="32"/>
          <w:szCs w:val="32"/>
        </w:rPr>
        <w:t>；较</w:t>
      </w:r>
      <w:r>
        <w:rPr>
          <w:rFonts w:ascii="仿宋_GB2312" w:hAnsi="宋体" w:eastAsia="仿宋_GB2312" w:cs="仿宋_GB2312"/>
          <w:color w:val="auto"/>
          <w:sz w:val="32"/>
          <w:szCs w:val="32"/>
        </w:rPr>
        <w:t>2015</w:t>
      </w:r>
      <w:r>
        <w:rPr>
          <w:rFonts w:hint="eastAsia" w:ascii="仿宋_GB2312" w:hAnsi="宋体" w:eastAsia="仿宋_GB2312" w:cs="仿宋_GB2312"/>
          <w:color w:val="auto"/>
          <w:sz w:val="32"/>
          <w:szCs w:val="32"/>
        </w:rPr>
        <w:t>年决算数增加</w:t>
      </w:r>
      <w:r>
        <w:rPr>
          <w:rFonts w:ascii="仿宋_GB2312" w:hAnsi="宋体" w:eastAsia="仿宋_GB2312" w:cs="仿宋_GB2312"/>
          <w:color w:val="auto"/>
          <w:sz w:val="32"/>
          <w:szCs w:val="32"/>
        </w:rPr>
        <w:t>1600.75</w:t>
      </w:r>
      <w:r>
        <w:rPr>
          <w:rFonts w:hint="eastAsia" w:ascii="仿宋_GB2312" w:hAnsi="宋体" w:eastAsia="仿宋_GB2312" w:cs="仿宋_GB2312"/>
          <w:color w:val="auto"/>
          <w:sz w:val="32"/>
          <w:szCs w:val="32"/>
        </w:rPr>
        <w:t>万元，增长</w:t>
      </w:r>
      <w:r>
        <w:rPr>
          <w:rFonts w:ascii="仿宋_GB2312" w:hAnsi="宋体" w:eastAsia="仿宋_GB2312" w:cs="仿宋_GB2312"/>
          <w:color w:val="auto"/>
          <w:sz w:val="32"/>
          <w:szCs w:val="32"/>
        </w:rPr>
        <w:t>44.64%</w:t>
      </w:r>
      <w:r>
        <w:rPr>
          <w:rFonts w:hint="eastAsia" w:ascii="仿宋_GB2312" w:hAnsi="宋体" w:eastAsia="仿宋_GB2312" w:cs="仿宋_GB2312"/>
          <w:color w:val="auto"/>
          <w:sz w:val="32"/>
          <w:szCs w:val="32"/>
        </w:rPr>
        <w:t>。</w:t>
      </w:r>
    </w:p>
    <w:p>
      <w:pPr>
        <w:pStyle w:val="9"/>
        <w:spacing w:line="560" w:lineRule="exact"/>
        <w:ind w:firstLine="31680" w:firstLineChars="200"/>
        <w:rPr>
          <w:rFonts w:ascii="仿宋_GB2312" w:hAnsi="宋体" w:eastAsia="仿宋_GB2312" w:cs="Times New Roman"/>
          <w:color w:val="auto"/>
          <w:sz w:val="32"/>
          <w:szCs w:val="32"/>
        </w:rPr>
      </w:pPr>
      <w:r>
        <w:rPr>
          <w:rFonts w:ascii="仿宋_GB2312" w:eastAsia="仿宋_GB2312" w:cs="仿宋_GB2312"/>
          <w:sz w:val="32"/>
          <w:szCs w:val="32"/>
        </w:rPr>
        <w:t>2.</w:t>
      </w:r>
      <w:r>
        <w:rPr>
          <w:rFonts w:hint="eastAsia" w:ascii="仿宋_GB2312" w:eastAsia="仿宋_GB2312" w:cs="仿宋_GB2312"/>
          <w:sz w:val="32"/>
          <w:szCs w:val="32"/>
        </w:rPr>
        <w:t>对个人和家庭的补助</w:t>
      </w:r>
      <w:r>
        <w:rPr>
          <w:rFonts w:ascii="仿宋_GB2312" w:eastAsia="仿宋_GB2312" w:cs="仿宋_GB2312"/>
          <w:sz w:val="32"/>
          <w:szCs w:val="32"/>
        </w:rPr>
        <w:t>2427.77</w:t>
      </w:r>
      <w:r>
        <w:rPr>
          <w:rFonts w:hint="eastAsia" w:ascii="仿宋_GB2312" w:eastAsia="仿宋_GB2312" w:cs="仿宋_GB2312"/>
          <w:sz w:val="32"/>
          <w:szCs w:val="32"/>
        </w:rPr>
        <w:t>万元，</w:t>
      </w:r>
      <w:r>
        <w:rPr>
          <w:rFonts w:hint="eastAsia" w:ascii="仿宋_GB2312" w:hAnsi="宋体" w:eastAsia="仿宋_GB2312" w:cs="仿宋_GB2312"/>
          <w:color w:val="auto"/>
          <w:sz w:val="32"/>
          <w:szCs w:val="32"/>
        </w:rPr>
        <w:t>较</w:t>
      </w:r>
      <w:r>
        <w:rPr>
          <w:rFonts w:ascii="仿宋_GB2312" w:hAnsi="宋体" w:eastAsia="仿宋_GB2312" w:cs="仿宋_GB2312"/>
          <w:color w:val="auto"/>
          <w:sz w:val="32"/>
          <w:szCs w:val="32"/>
        </w:rPr>
        <w:t>2016</w:t>
      </w:r>
      <w:r>
        <w:rPr>
          <w:rFonts w:hint="eastAsia" w:ascii="仿宋_GB2312" w:hAnsi="宋体" w:eastAsia="仿宋_GB2312" w:cs="仿宋_GB2312"/>
          <w:color w:val="auto"/>
          <w:sz w:val="32"/>
          <w:szCs w:val="32"/>
        </w:rPr>
        <w:t>年度年初预算数增加</w:t>
      </w:r>
      <w:r>
        <w:rPr>
          <w:rFonts w:ascii="仿宋_GB2312" w:hAnsi="宋体" w:eastAsia="仿宋_GB2312" w:cs="仿宋_GB2312"/>
          <w:color w:val="auto"/>
          <w:sz w:val="32"/>
          <w:szCs w:val="32"/>
        </w:rPr>
        <w:t>1554.87</w:t>
      </w:r>
      <w:r>
        <w:rPr>
          <w:rFonts w:hint="eastAsia" w:ascii="仿宋_GB2312" w:hAnsi="宋体" w:eastAsia="仿宋_GB2312" w:cs="仿宋_GB2312"/>
          <w:color w:val="auto"/>
          <w:sz w:val="32"/>
          <w:szCs w:val="32"/>
        </w:rPr>
        <w:t>万元，增长</w:t>
      </w:r>
      <w:r>
        <w:rPr>
          <w:rFonts w:ascii="仿宋_GB2312" w:hAnsi="宋体" w:eastAsia="仿宋_GB2312" w:cs="仿宋_GB2312"/>
          <w:color w:val="auto"/>
          <w:sz w:val="32"/>
          <w:szCs w:val="32"/>
        </w:rPr>
        <w:t>178.13%</w:t>
      </w:r>
      <w:r>
        <w:rPr>
          <w:rFonts w:hint="eastAsia" w:ascii="仿宋_GB2312" w:hAnsi="宋体" w:eastAsia="仿宋_GB2312" w:cs="仿宋_GB2312"/>
          <w:color w:val="auto"/>
          <w:sz w:val="32"/>
          <w:szCs w:val="32"/>
        </w:rPr>
        <w:t>，主要原因是</w:t>
      </w:r>
      <w:r>
        <w:rPr>
          <w:rFonts w:hint="eastAsia" w:ascii="仿宋_GB2312" w:eastAsia="仿宋_GB2312" w:cs="仿宋_GB2312"/>
          <w:sz w:val="30"/>
          <w:szCs w:val="30"/>
        </w:rPr>
        <w:t>年度执行中</w:t>
      </w:r>
      <w:r>
        <w:rPr>
          <w:rFonts w:hint="eastAsia" w:ascii="仿宋_GB2312" w:hAnsi="宋体" w:eastAsia="仿宋_GB2312" w:cs="仿宋_GB2312"/>
          <w:color w:val="auto"/>
          <w:sz w:val="32"/>
          <w:szCs w:val="32"/>
        </w:rPr>
        <w:t>追加了住房补贴及退休人员的民族团结奖及城市文明奖；较</w:t>
      </w:r>
      <w:r>
        <w:rPr>
          <w:rFonts w:ascii="仿宋_GB2312" w:hAnsi="宋体" w:eastAsia="仿宋_GB2312" w:cs="仿宋_GB2312"/>
          <w:color w:val="auto"/>
          <w:sz w:val="32"/>
          <w:szCs w:val="32"/>
        </w:rPr>
        <w:t>2015</w:t>
      </w:r>
      <w:r>
        <w:rPr>
          <w:rFonts w:hint="eastAsia" w:ascii="仿宋_GB2312" w:hAnsi="宋体" w:eastAsia="仿宋_GB2312" w:cs="仿宋_GB2312"/>
          <w:color w:val="auto"/>
          <w:sz w:val="32"/>
          <w:szCs w:val="32"/>
        </w:rPr>
        <w:t>年决算数减少</w:t>
      </w:r>
      <w:r>
        <w:rPr>
          <w:rFonts w:ascii="仿宋_GB2312" w:hAnsi="宋体" w:eastAsia="仿宋_GB2312" w:cs="仿宋_GB2312"/>
          <w:color w:val="auto"/>
          <w:sz w:val="32"/>
          <w:szCs w:val="32"/>
        </w:rPr>
        <w:t>1081.24</w:t>
      </w:r>
      <w:r>
        <w:rPr>
          <w:rFonts w:hint="eastAsia" w:ascii="仿宋_GB2312" w:hAnsi="宋体" w:eastAsia="仿宋_GB2312" w:cs="仿宋_GB2312"/>
          <w:color w:val="auto"/>
          <w:sz w:val="32"/>
          <w:szCs w:val="32"/>
        </w:rPr>
        <w:t>万元，降低</w:t>
      </w:r>
      <w:r>
        <w:rPr>
          <w:rFonts w:ascii="仿宋_GB2312" w:hAnsi="宋体" w:eastAsia="仿宋_GB2312" w:cs="仿宋_GB2312"/>
          <w:color w:val="auto"/>
          <w:sz w:val="32"/>
          <w:szCs w:val="32"/>
        </w:rPr>
        <w:t>30.81%</w:t>
      </w:r>
      <w:r>
        <w:rPr>
          <w:rFonts w:hint="eastAsia" w:ascii="仿宋_GB2312" w:hAnsi="宋体" w:eastAsia="仿宋_GB2312" w:cs="仿宋_GB2312"/>
          <w:color w:val="auto"/>
          <w:sz w:val="32"/>
          <w:szCs w:val="32"/>
        </w:rPr>
        <w:t>。</w:t>
      </w:r>
    </w:p>
    <w:p>
      <w:pPr>
        <w:spacing w:line="560" w:lineRule="exact"/>
        <w:ind w:firstLine="31680" w:firstLineChars="200"/>
        <w:outlineLvl w:val="1"/>
        <w:rPr>
          <w:rFonts w:ascii="黑体" w:hAnsi="宋体" w:eastAsia="黑体"/>
          <w:kern w:val="0"/>
          <w:sz w:val="32"/>
          <w:szCs w:val="32"/>
        </w:rPr>
      </w:pPr>
      <w:r>
        <w:rPr>
          <w:rFonts w:hint="eastAsia" w:ascii="黑体" w:hAnsi="宋体" w:eastAsia="黑体" w:cs="黑体"/>
          <w:kern w:val="0"/>
          <w:sz w:val="32"/>
          <w:szCs w:val="32"/>
        </w:rPr>
        <w:t>七、关于</w:t>
      </w:r>
      <w:r>
        <w:rPr>
          <w:rFonts w:ascii="黑体" w:hAnsi="宋体" w:eastAsia="黑体" w:cs="黑体"/>
          <w:kern w:val="0"/>
          <w:sz w:val="32"/>
          <w:szCs w:val="32"/>
        </w:rPr>
        <w:t>2016</w:t>
      </w:r>
      <w:r>
        <w:rPr>
          <w:rFonts w:hint="eastAsia" w:ascii="黑体" w:hAnsi="宋体" w:eastAsia="黑体" w:cs="黑体"/>
          <w:kern w:val="0"/>
          <w:sz w:val="32"/>
          <w:szCs w:val="32"/>
        </w:rPr>
        <w:t>年度</w:t>
      </w:r>
      <w:r>
        <w:rPr>
          <w:rFonts w:ascii="黑体" w:hAnsi="宋体" w:eastAsia="黑体" w:cs="黑体"/>
          <w:kern w:val="0"/>
          <w:sz w:val="32"/>
          <w:szCs w:val="32"/>
        </w:rPr>
        <w:t xml:space="preserve"> </w:t>
      </w:r>
      <w:r>
        <w:rPr>
          <w:rFonts w:hint="eastAsia" w:ascii="黑体" w:hAnsi="宋体" w:eastAsia="黑体" w:cs="黑体"/>
          <w:kern w:val="0"/>
          <w:sz w:val="32"/>
          <w:szCs w:val="32"/>
        </w:rPr>
        <w:t>“三公”经费支出决算情况说明</w:t>
      </w:r>
    </w:p>
    <w:p>
      <w:pPr>
        <w:autoSpaceDE w:val="0"/>
        <w:autoSpaceDN w:val="0"/>
        <w:adjustRightInd w:val="0"/>
        <w:spacing w:line="560" w:lineRule="exact"/>
        <w:ind w:left="31680" w:leftChars="227" w:firstLine="31680" w:firstLineChars="48"/>
        <w:jc w:val="left"/>
        <w:rPr>
          <w:rFonts w:ascii="楷体_GB2312" w:hAnsi="宋体" w:eastAsia="楷体_GB2312"/>
          <w:b/>
          <w:bCs/>
          <w:kern w:val="0"/>
          <w:sz w:val="32"/>
          <w:szCs w:val="32"/>
        </w:rPr>
      </w:pPr>
      <w:r>
        <w:rPr>
          <w:rFonts w:hint="eastAsia" w:ascii="楷体_GB2312" w:hAnsi="宋体" w:eastAsia="楷体_GB2312" w:cs="楷体_GB2312"/>
          <w:b/>
          <w:bCs/>
          <w:kern w:val="0"/>
          <w:sz w:val="32"/>
          <w:szCs w:val="32"/>
        </w:rPr>
        <w:t>（一）“三公”经费支出决算总体情况说明</w:t>
      </w:r>
    </w:p>
    <w:p>
      <w:pPr>
        <w:autoSpaceDE w:val="0"/>
        <w:autoSpaceDN w:val="0"/>
        <w:adjustRightInd w:val="0"/>
        <w:spacing w:line="560" w:lineRule="exact"/>
        <w:ind w:left="31680" w:leftChars="1" w:firstLine="31680" w:firstLineChars="200"/>
        <w:jc w:val="left"/>
        <w:rPr>
          <w:rFonts w:ascii="仿宋_GB2312" w:hAnsi="宋体" w:eastAsia="仿宋_GB2312"/>
          <w:kern w:val="0"/>
          <w:sz w:val="32"/>
          <w:szCs w:val="32"/>
        </w:rPr>
      </w:pPr>
      <w:r>
        <w:rPr>
          <w:rFonts w:ascii="仿宋_GB2312" w:hAnsi="宋体" w:eastAsia="仿宋_GB2312" w:cs="仿宋_GB2312"/>
          <w:kern w:val="0"/>
          <w:sz w:val="32"/>
          <w:szCs w:val="32"/>
        </w:rPr>
        <w:t xml:space="preserve">2016 </w:t>
      </w:r>
      <w:r>
        <w:rPr>
          <w:rFonts w:hint="eastAsia" w:ascii="仿宋_GB2312" w:hAnsi="宋体" w:eastAsia="仿宋_GB2312" w:cs="仿宋_GB2312"/>
          <w:kern w:val="0"/>
          <w:sz w:val="32"/>
          <w:szCs w:val="32"/>
        </w:rPr>
        <w:t>年度“三公”经费支出预算为</w:t>
      </w:r>
      <w:r>
        <w:rPr>
          <w:rFonts w:ascii="仿宋_GB2312" w:hAnsi="宋体" w:eastAsia="仿宋_GB2312" w:cs="仿宋_GB2312"/>
          <w:kern w:val="0"/>
          <w:sz w:val="32"/>
          <w:szCs w:val="32"/>
        </w:rPr>
        <w:t>503</w:t>
      </w:r>
      <w:r>
        <w:rPr>
          <w:rFonts w:hint="eastAsia" w:ascii="仿宋_GB2312" w:hAnsi="宋体" w:eastAsia="仿宋_GB2312" w:cs="仿宋_GB2312"/>
          <w:kern w:val="0"/>
          <w:sz w:val="32"/>
          <w:szCs w:val="32"/>
        </w:rPr>
        <w:t>万元，支出为</w:t>
      </w:r>
      <w:r>
        <w:rPr>
          <w:rFonts w:ascii="仿宋_GB2312" w:hAnsi="宋体" w:eastAsia="仿宋_GB2312" w:cs="仿宋_GB2312"/>
          <w:kern w:val="0"/>
          <w:sz w:val="32"/>
          <w:szCs w:val="32"/>
        </w:rPr>
        <w:t>163.40</w:t>
      </w:r>
      <w:r>
        <w:rPr>
          <w:rFonts w:hint="eastAsia" w:ascii="仿宋_GB2312" w:hAnsi="宋体" w:eastAsia="仿宋_GB2312" w:cs="仿宋_GB2312"/>
          <w:kern w:val="0"/>
          <w:sz w:val="32"/>
          <w:szCs w:val="32"/>
        </w:rPr>
        <w:t>万元，完成预算的</w:t>
      </w:r>
      <w:r>
        <w:rPr>
          <w:rFonts w:ascii="仿宋_GB2312" w:hAnsi="宋体" w:eastAsia="仿宋_GB2312" w:cs="仿宋_GB2312"/>
          <w:kern w:val="0"/>
          <w:sz w:val="32"/>
          <w:szCs w:val="32"/>
        </w:rPr>
        <w:t>32.49%</w:t>
      </w:r>
      <w:r>
        <w:rPr>
          <w:rFonts w:hint="eastAsia" w:ascii="仿宋_GB2312" w:hAnsi="宋体" w:eastAsia="仿宋_GB2312" w:cs="仿宋_GB2312"/>
          <w:kern w:val="0"/>
          <w:sz w:val="32"/>
          <w:szCs w:val="32"/>
        </w:rPr>
        <w:t>，其中：因公出国（境）费支出为</w:t>
      </w:r>
      <w:r>
        <w:rPr>
          <w:rFonts w:ascii="仿宋_GB2312" w:hAnsi="宋体" w:eastAsia="仿宋_GB2312" w:cs="仿宋_GB2312"/>
          <w:kern w:val="0"/>
          <w:sz w:val="32"/>
          <w:szCs w:val="32"/>
        </w:rPr>
        <w:t>48.92</w:t>
      </w:r>
      <w:r>
        <w:rPr>
          <w:rFonts w:hint="eastAsia" w:ascii="仿宋_GB2312" w:hAnsi="宋体" w:eastAsia="仿宋_GB2312" w:cs="仿宋_GB2312"/>
          <w:kern w:val="0"/>
          <w:sz w:val="32"/>
          <w:szCs w:val="32"/>
        </w:rPr>
        <w:t>万元，完成预算的</w:t>
      </w:r>
      <w:r>
        <w:rPr>
          <w:rFonts w:ascii="仿宋_GB2312" w:hAnsi="宋体" w:eastAsia="仿宋_GB2312" w:cs="仿宋_GB2312"/>
          <w:kern w:val="0"/>
          <w:sz w:val="32"/>
          <w:szCs w:val="32"/>
        </w:rPr>
        <w:t>376.31%</w:t>
      </w:r>
      <w:r>
        <w:rPr>
          <w:rFonts w:hint="eastAsia" w:ascii="仿宋_GB2312" w:hAnsi="宋体" w:eastAsia="仿宋_GB2312" w:cs="仿宋_GB2312"/>
          <w:kern w:val="0"/>
          <w:sz w:val="32"/>
          <w:szCs w:val="32"/>
        </w:rPr>
        <w:t>；公务用车购置及运行费支出为</w:t>
      </w:r>
      <w:r>
        <w:rPr>
          <w:rFonts w:ascii="仿宋_GB2312" w:hAnsi="宋体" w:eastAsia="仿宋_GB2312" w:cs="仿宋_GB2312"/>
          <w:kern w:val="0"/>
          <w:sz w:val="32"/>
          <w:szCs w:val="32"/>
        </w:rPr>
        <w:t>110.37</w:t>
      </w:r>
      <w:r>
        <w:rPr>
          <w:rFonts w:hint="eastAsia" w:ascii="仿宋_GB2312" w:hAnsi="宋体" w:eastAsia="仿宋_GB2312" w:cs="仿宋_GB2312"/>
          <w:kern w:val="0"/>
          <w:sz w:val="32"/>
          <w:szCs w:val="32"/>
        </w:rPr>
        <w:t>万元，完成预算的</w:t>
      </w:r>
      <w:r>
        <w:rPr>
          <w:rFonts w:ascii="仿宋_GB2312" w:hAnsi="宋体" w:eastAsia="仿宋_GB2312" w:cs="仿宋_GB2312"/>
          <w:kern w:val="0"/>
          <w:sz w:val="32"/>
          <w:szCs w:val="32"/>
        </w:rPr>
        <w:t>23.48%</w:t>
      </w:r>
      <w:r>
        <w:rPr>
          <w:rFonts w:hint="eastAsia" w:ascii="仿宋_GB2312" w:hAnsi="宋体" w:eastAsia="仿宋_GB2312" w:cs="仿宋_GB2312"/>
          <w:kern w:val="0"/>
          <w:sz w:val="32"/>
          <w:szCs w:val="32"/>
        </w:rPr>
        <w:t>；公务接待费支出为</w:t>
      </w:r>
      <w:r>
        <w:rPr>
          <w:rFonts w:ascii="仿宋_GB2312" w:hAnsi="宋体" w:eastAsia="仿宋_GB2312" w:cs="仿宋_GB2312"/>
          <w:kern w:val="0"/>
          <w:sz w:val="32"/>
          <w:szCs w:val="32"/>
        </w:rPr>
        <w:t>4.11</w:t>
      </w:r>
      <w:r>
        <w:rPr>
          <w:rFonts w:hint="eastAsia" w:ascii="仿宋_GB2312" w:hAnsi="宋体" w:eastAsia="仿宋_GB2312" w:cs="仿宋_GB2312"/>
          <w:kern w:val="0"/>
          <w:sz w:val="32"/>
          <w:szCs w:val="32"/>
        </w:rPr>
        <w:t>万元，完成预算的</w:t>
      </w:r>
      <w:r>
        <w:rPr>
          <w:rFonts w:ascii="仿宋_GB2312" w:hAnsi="宋体" w:eastAsia="仿宋_GB2312" w:cs="仿宋_GB2312"/>
          <w:kern w:val="0"/>
          <w:sz w:val="32"/>
          <w:szCs w:val="32"/>
        </w:rPr>
        <w:t>20.53%</w:t>
      </w:r>
      <w:r>
        <w:rPr>
          <w:rFonts w:hint="eastAsia" w:ascii="仿宋_GB2312" w:hAnsi="宋体" w:eastAsia="仿宋_GB2312" w:cs="仿宋_GB2312"/>
          <w:kern w:val="0"/>
          <w:sz w:val="32"/>
          <w:szCs w:val="32"/>
        </w:rPr>
        <w:t>。</w:t>
      </w:r>
    </w:p>
    <w:p>
      <w:pPr>
        <w:autoSpaceDE w:val="0"/>
        <w:autoSpaceDN w:val="0"/>
        <w:adjustRightInd w:val="0"/>
        <w:spacing w:line="560" w:lineRule="exact"/>
        <w:ind w:firstLine="31680" w:firstLineChars="205"/>
        <w:jc w:val="left"/>
        <w:rPr>
          <w:rFonts w:ascii="仿宋_GB2312" w:hAnsi="宋体" w:eastAsia="仿宋_GB2312"/>
          <w:kern w:val="0"/>
          <w:sz w:val="32"/>
          <w:szCs w:val="32"/>
        </w:rPr>
      </w:pP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年度“三公”经费支出决算数比</w:t>
      </w:r>
      <w:r>
        <w:rPr>
          <w:rFonts w:ascii="仿宋_GB2312" w:hAnsi="宋体" w:eastAsia="仿宋_GB2312" w:cs="仿宋_GB2312"/>
          <w:kern w:val="0"/>
          <w:sz w:val="32"/>
          <w:szCs w:val="32"/>
        </w:rPr>
        <w:t>2015</w:t>
      </w:r>
      <w:r>
        <w:rPr>
          <w:rFonts w:hint="eastAsia" w:ascii="仿宋_GB2312" w:hAnsi="宋体" w:eastAsia="仿宋_GB2312" w:cs="仿宋_GB2312"/>
          <w:kern w:val="0"/>
          <w:sz w:val="32"/>
          <w:szCs w:val="32"/>
        </w:rPr>
        <w:t>年减少</w:t>
      </w:r>
      <w:r>
        <w:rPr>
          <w:rFonts w:ascii="仿宋_GB2312" w:hAnsi="宋体" w:eastAsia="仿宋_GB2312" w:cs="仿宋_GB2312"/>
          <w:kern w:val="0"/>
          <w:sz w:val="32"/>
          <w:szCs w:val="32"/>
        </w:rPr>
        <w:t>217.94</w:t>
      </w:r>
      <w:r>
        <w:rPr>
          <w:rFonts w:hint="eastAsia" w:ascii="仿宋_GB2312" w:hAnsi="宋体" w:eastAsia="仿宋_GB2312" w:cs="仿宋_GB2312"/>
          <w:kern w:val="0"/>
          <w:sz w:val="32"/>
          <w:szCs w:val="32"/>
        </w:rPr>
        <w:t>万元，下降</w:t>
      </w:r>
      <w:r>
        <w:rPr>
          <w:rFonts w:ascii="仿宋_GB2312" w:hAnsi="宋体" w:eastAsia="仿宋_GB2312" w:cs="仿宋_GB2312"/>
          <w:kern w:val="0"/>
          <w:sz w:val="32"/>
          <w:szCs w:val="32"/>
        </w:rPr>
        <w:t>57.15%</w:t>
      </w:r>
      <w:r>
        <w:rPr>
          <w:rFonts w:hint="eastAsia" w:ascii="仿宋_GB2312" w:hAnsi="宋体" w:eastAsia="仿宋_GB2312" w:cs="仿宋_GB2312"/>
          <w:kern w:val="0"/>
          <w:sz w:val="32"/>
          <w:szCs w:val="32"/>
        </w:rPr>
        <w:t>，其中：因公出国（境）费支出决算增长</w:t>
      </w:r>
      <w:r>
        <w:rPr>
          <w:rFonts w:ascii="仿宋_GB2312" w:hAnsi="宋体" w:eastAsia="仿宋_GB2312" w:cs="仿宋_GB2312"/>
          <w:kern w:val="0"/>
          <w:sz w:val="32"/>
          <w:szCs w:val="32"/>
        </w:rPr>
        <w:t>23.81</w:t>
      </w:r>
      <w:r>
        <w:rPr>
          <w:rFonts w:hint="eastAsia" w:ascii="仿宋_GB2312" w:hAnsi="宋体" w:eastAsia="仿宋_GB2312" w:cs="仿宋_GB2312"/>
          <w:kern w:val="0"/>
          <w:sz w:val="32"/>
          <w:szCs w:val="32"/>
        </w:rPr>
        <w:t>万元，增长率</w:t>
      </w:r>
      <w:r>
        <w:rPr>
          <w:rFonts w:ascii="仿宋_GB2312" w:hAnsi="宋体" w:eastAsia="仿宋_GB2312" w:cs="仿宋_GB2312"/>
          <w:kern w:val="0"/>
          <w:sz w:val="32"/>
          <w:szCs w:val="32"/>
        </w:rPr>
        <w:t>94.82%</w:t>
      </w:r>
      <w:r>
        <w:rPr>
          <w:rFonts w:hint="eastAsia" w:ascii="仿宋_GB2312" w:hAnsi="宋体" w:eastAsia="仿宋_GB2312" w:cs="仿宋_GB2312"/>
          <w:kern w:val="0"/>
          <w:sz w:val="32"/>
          <w:szCs w:val="32"/>
        </w:rPr>
        <w:t>；公务用车购置及运行费支出决算减少</w:t>
      </w:r>
      <w:r>
        <w:rPr>
          <w:rFonts w:ascii="仿宋_GB2312" w:hAnsi="宋体" w:eastAsia="仿宋_GB2312" w:cs="仿宋_GB2312"/>
          <w:kern w:val="0"/>
          <w:sz w:val="32"/>
          <w:szCs w:val="32"/>
        </w:rPr>
        <w:t>233.22</w:t>
      </w:r>
      <w:r>
        <w:rPr>
          <w:rFonts w:hint="eastAsia" w:ascii="仿宋_GB2312" w:hAnsi="宋体" w:eastAsia="仿宋_GB2312" w:cs="仿宋_GB2312"/>
          <w:kern w:val="0"/>
          <w:sz w:val="32"/>
          <w:szCs w:val="32"/>
        </w:rPr>
        <w:t>万元，下降</w:t>
      </w:r>
      <w:r>
        <w:rPr>
          <w:rFonts w:ascii="仿宋_GB2312" w:hAnsi="宋体" w:eastAsia="仿宋_GB2312" w:cs="仿宋_GB2312"/>
          <w:kern w:val="0"/>
          <w:sz w:val="32"/>
          <w:szCs w:val="32"/>
        </w:rPr>
        <w:t>67.88%</w:t>
      </w:r>
      <w:r>
        <w:rPr>
          <w:rFonts w:hint="eastAsia" w:ascii="仿宋_GB2312" w:hAnsi="宋体" w:eastAsia="仿宋_GB2312" w:cs="仿宋_GB2312"/>
          <w:kern w:val="0"/>
          <w:sz w:val="32"/>
          <w:szCs w:val="32"/>
        </w:rPr>
        <w:t>；；公务接待费支出决算减少</w:t>
      </w:r>
      <w:r>
        <w:rPr>
          <w:rFonts w:ascii="仿宋_GB2312" w:hAnsi="宋体" w:eastAsia="仿宋_GB2312" w:cs="仿宋_GB2312"/>
          <w:kern w:val="0"/>
          <w:sz w:val="32"/>
          <w:szCs w:val="32"/>
        </w:rPr>
        <w:t>8.53</w:t>
      </w:r>
      <w:r>
        <w:rPr>
          <w:rFonts w:hint="eastAsia" w:ascii="仿宋_GB2312" w:hAnsi="宋体" w:eastAsia="仿宋_GB2312" w:cs="仿宋_GB2312"/>
          <w:kern w:val="0"/>
          <w:sz w:val="32"/>
          <w:szCs w:val="32"/>
        </w:rPr>
        <w:t>万元，下降</w:t>
      </w:r>
      <w:r>
        <w:rPr>
          <w:rFonts w:ascii="仿宋_GB2312" w:hAnsi="宋体" w:eastAsia="仿宋_GB2312" w:cs="仿宋_GB2312"/>
          <w:kern w:val="0"/>
          <w:sz w:val="32"/>
          <w:szCs w:val="32"/>
        </w:rPr>
        <w:t>67.48%</w:t>
      </w:r>
      <w:r>
        <w:rPr>
          <w:rFonts w:hint="eastAsia" w:ascii="仿宋_GB2312" w:hAnsi="宋体" w:eastAsia="仿宋_GB2312" w:cs="仿宋_GB2312"/>
          <w:kern w:val="0"/>
          <w:sz w:val="32"/>
          <w:szCs w:val="32"/>
        </w:rPr>
        <w:t>。</w:t>
      </w:r>
    </w:p>
    <w:p>
      <w:pPr>
        <w:pStyle w:val="9"/>
        <w:spacing w:line="560" w:lineRule="exact"/>
        <w:ind w:firstLine="31680" w:firstLineChars="20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（二）“三公”经费财政拨款支出决算具体情况说明。</w:t>
      </w:r>
      <w:r>
        <w:rPr>
          <w:rFonts w:ascii="仿宋_GB2312" w:hAnsi="宋体" w:eastAsia="仿宋_GB2312" w:cs="仿宋_GB2312"/>
          <w:color w:val="auto"/>
          <w:sz w:val="32"/>
          <w:szCs w:val="32"/>
        </w:rPr>
        <w:t xml:space="preserve"> </w:t>
      </w:r>
    </w:p>
    <w:p>
      <w:pPr>
        <w:pStyle w:val="9"/>
        <w:spacing w:line="560" w:lineRule="exact"/>
        <w:ind w:firstLine="31680" w:firstLineChars="150"/>
        <w:rPr>
          <w:rFonts w:ascii="仿宋_GB2312" w:hAnsi="宋体" w:eastAsia="仿宋_GB2312" w:cs="Times New Roman"/>
          <w:color w:val="auto"/>
          <w:sz w:val="32"/>
          <w:szCs w:val="32"/>
        </w:rPr>
      </w:pPr>
      <w:r>
        <w:rPr>
          <w:rFonts w:ascii="仿宋_GB2312" w:hAnsi="宋体" w:eastAsia="仿宋_GB2312" w:cs="仿宋_GB2312"/>
          <w:color w:val="auto"/>
          <w:sz w:val="32"/>
          <w:szCs w:val="32"/>
        </w:rPr>
        <w:t>2016</w:t>
      </w:r>
      <w:r>
        <w:rPr>
          <w:rFonts w:hint="eastAsia" w:ascii="仿宋_GB2312" w:hAnsi="宋体" w:eastAsia="仿宋_GB2312" w:cs="仿宋_GB2312"/>
          <w:color w:val="auto"/>
          <w:sz w:val="32"/>
          <w:szCs w:val="32"/>
        </w:rPr>
        <w:t>年度“三公”经费支出决算中，因公出国（境）费支出决算</w:t>
      </w:r>
      <w:r>
        <w:rPr>
          <w:rFonts w:ascii="仿宋_GB2312" w:hAnsi="宋体" w:eastAsia="仿宋_GB2312" w:cs="仿宋_GB2312"/>
          <w:color w:val="auto"/>
          <w:sz w:val="32"/>
          <w:szCs w:val="32"/>
        </w:rPr>
        <w:t>48.92</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29.94%</w:t>
      </w:r>
      <w:r>
        <w:rPr>
          <w:rFonts w:hint="eastAsia" w:ascii="仿宋_GB2312" w:hAnsi="宋体" w:eastAsia="仿宋_GB2312" w:cs="仿宋_GB2312"/>
          <w:color w:val="auto"/>
          <w:sz w:val="32"/>
          <w:szCs w:val="32"/>
        </w:rPr>
        <w:t>；公务用车购置及运行费支出决算</w:t>
      </w:r>
      <w:r>
        <w:rPr>
          <w:rFonts w:ascii="仿宋_GB2312" w:hAnsi="宋体" w:eastAsia="仿宋_GB2312" w:cs="仿宋_GB2312"/>
          <w:color w:val="auto"/>
          <w:sz w:val="32"/>
          <w:szCs w:val="32"/>
        </w:rPr>
        <w:t>110.37</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67.55%</w:t>
      </w:r>
      <w:r>
        <w:rPr>
          <w:rFonts w:hint="eastAsia" w:ascii="仿宋_GB2312" w:hAnsi="宋体" w:eastAsia="仿宋_GB2312" w:cs="仿宋_GB2312"/>
          <w:color w:val="auto"/>
          <w:sz w:val="32"/>
          <w:szCs w:val="32"/>
        </w:rPr>
        <w:t>；公务接待费支出决算</w:t>
      </w:r>
      <w:r>
        <w:rPr>
          <w:rFonts w:ascii="仿宋_GB2312" w:hAnsi="宋体" w:eastAsia="仿宋_GB2312" w:cs="仿宋_GB2312"/>
          <w:color w:val="auto"/>
          <w:sz w:val="32"/>
          <w:szCs w:val="32"/>
        </w:rPr>
        <w:t>4.11</w:t>
      </w:r>
      <w:r>
        <w:rPr>
          <w:rFonts w:hint="eastAsia" w:ascii="仿宋_GB2312" w:hAnsi="宋体" w:eastAsia="仿宋_GB2312" w:cs="仿宋_GB2312"/>
          <w:color w:val="auto"/>
          <w:sz w:val="32"/>
          <w:szCs w:val="32"/>
        </w:rPr>
        <w:t>万元，占</w:t>
      </w:r>
      <w:r>
        <w:rPr>
          <w:rFonts w:ascii="仿宋_GB2312" w:hAnsi="宋体" w:eastAsia="仿宋_GB2312" w:cs="仿宋_GB2312"/>
          <w:color w:val="auto"/>
          <w:sz w:val="32"/>
          <w:szCs w:val="32"/>
        </w:rPr>
        <w:t>2.51%</w:t>
      </w:r>
      <w:r>
        <w:rPr>
          <w:rFonts w:hint="eastAsia" w:ascii="仿宋_GB2312" w:hAnsi="宋体" w:eastAsia="仿宋_GB2312" w:cs="仿宋_GB2312"/>
          <w:color w:val="auto"/>
          <w:sz w:val="32"/>
          <w:szCs w:val="32"/>
        </w:rPr>
        <w:t>。具体情况如下：</w:t>
      </w:r>
    </w:p>
    <w:p>
      <w:pPr>
        <w:pStyle w:val="9"/>
        <w:spacing w:line="560" w:lineRule="exact"/>
        <w:ind w:firstLine="31680" w:firstLineChars="196"/>
        <w:rPr>
          <w:rFonts w:ascii="仿宋_GB2312" w:hAnsi="宋体" w:eastAsia="仿宋_GB2312" w:cs="Times New Roman"/>
          <w:color w:val="auto"/>
          <w:sz w:val="32"/>
          <w:szCs w:val="32"/>
        </w:rPr>
      </w:pPr>
      <w:r>
        <w:rPr>
          <w:rFonts w:ascii="仿宋_GB2312" w:hAnsi="宋体" w:eastAsia="仿宋_GB2312" w:cs="仿宋_GB2312"/>
          <w:color w:val="auto"/>
          <w:sz w:val="32"/>
          <w:szCs w:val="32"/>
        </w:rPr>
        <w:t>1.</w:t>
      </w:r>
      <w:r>
        <w:rPr>
          <w:rFonts w:hint="eastAsia" w:ascii="仿宋_GB2312" w:hAnsi="宋体" w:eastAsia="仿宋_GB2312" w:cs="仿宋_GB2312"/>
          <w:color w:val="auto"/>
          <w:sz w:val="32"/>
          <w:szCs w:val="32"/>
        </w:rPr>
        <w:t>因公出国（境）费支出</w:t>
      </w:r>
      <w:r>
        <w:rPr>
          <w:rFonts w:ascii="仿宋_GB2312" w:hAnsi="宋体" w:eastAsia="仿宋_GB2312" w:cs="仿宋_GB2312"/>
          <w:color w:val="auto"/>
          <w:sz w:val="32"/>
          <w:szCs w:val="32"/>
        </w:rPr>
        <w:t>48.92</w:t>
      </w:r>
      <w:r>
        <w:rPr>
          <w:rFonts w:hint="eastAsia" w:ascii="仿宋_GB2312" w:hAnsi="宋体" w:eastAsia="仿宋_GB2312" w:cs="仿宋_GB2312"/>
          <w:color w:val="auto"/>
          <w:sz w:val="32"/>
          <w:szCs w:val="32"/>
        </w:rPr>
        <w:t>万元。</w:t>
      </w:r>
      <w:r>
        <w:rPr>
          <w:rFonts w:ascii="仿宋_GB2312" w:hAnsi="宋体" w:eastAsia="仿宋_GB2312" w:cs="仿宋_GB2312"/>
          <w:color w:val="auto"/>
          <w:sz w:val="32"/>
          <w:szCs w:val="32"/>
        </w:rPr>
        <w:t xml:space="preserve"> </w:t>
      </w:r>
      <w:r>
        <w:rPr>
          <w:rFonts w:hint="eastAsia" w:ascii="仿宋_GB2312" w:hAnsi="宋体" w:eastAsia="仿宋_GB2312" w:cs="仿宋_GB2312"/>
          <w:color w:val="auto"/>
          <w:sz w:val="32"/>
          <w:szCs w:val="32"/>
        </w:rPr>
        <w:t>主要用于出国培训交流费用，共计</w:t>
      </w:r>
      <w:r>
        <w:rPr>
          <w:rFonts w:ascii="仿宋_GB2312" w:hAnsi="宋体" w:eastAsia="仿宋_GB2312" w:cs="仿宋_GB2312"/>
          <w:color w:val="auto"/>
          <w:sz w:val="32"/>
          <w:szCs w:val="32"/>
        </w:rPr>
        <w:t>8</w:t>
      </w:r>
      <w:r>
        <w:rPr>
          <w:rFonts w:hint="eastAsia" w:ascii="仿宋_GB2312" w:hAnsi="宋体" w:eastAsia="仿宋_GB2312" w:cs="仿宋_GB2312"/>
          <w:color w:val="auto"/>
          <w:sz w:val="32"/>
          <w:szCs w:val="32"/>
        </w:rPr>
        <w:t>批次</w:t>
      </w:r>
      <w:r>
        <w:rPr>
          <w:rFonts w:ascii="仿宋_GB2312" w:hAnsi="宋体" w:eastAsia="仿宋_GB2312" w:cs="仿宋_GB2312"/>
          <w:color w:val="auto"/>
          <w:sz w:val="32"/>
          <w:szCs w:val="32"/>
        </w:rPr>
        <w:t>27</w:t>
      </w:r>
      <w:r>
        <w:rPr>
          <w:rFonts w:hint="eastAsia" w:ascii="仿宋_GB2312" w:hAnsi="宋体" w:eastAsia="仿宋_GB2312" w:cs="仿宋_GB2312"/>
          <w:color w:val="auto"/>
          <w:sz w:val="32"/>
          <w:szCs w:val="32"/>
        </w:rPr>
        <w:t>人次。</w:t>
      </w:r>
    </w:p>
    <w:p>
      <w:pPr>
        <w:autoSpaceDE w:val="0"/>
        <w:autoSpaceDN w:val="0"/>
        <w:adjustRightInd w:val="0"/>
        <w:spacing w:line="560" w:lineRule="exact"/>
        <w:ind w:firstLine="31680" w:firstLineChars="196"/>
        <w:jc w:val="left"/>
        <w:rPr>
          <w:rFonts w:ascii="仿宋_GB2312" w:hAnsi="宋体" w:eastAsia="仿宋_GB2312" w:cs="仿宋_GB2312"/>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公务用车购置及运行维护费支出</w:t>
      </w:r>
      <w:r>
        <w:rPr>
          <w:rFonts w:ascii="仿宋_GB2312" w:hAnsi="宋体" w:eastAsia="仿宋_GB2312" w:cs="仿宋_GB2312"/>
          <w:kern w:val="0"/>
          <w:sz w:val="32"/>
          <w:szCs w:val="32"/>
        </w:rPr>
        <w:t>110.37</w:t>
      </w:r>
      <w:r>
        <w:rPr>
          <w:rFonts w:hint="eastAsia" w:ascii="仿宋_GB2312" w:hAnsi="宋体" w:eastAsia="仿宋_GB2312" w:cs="仿宋_GB2312"/>
          <w:kern w:val="0"/>
          <w:sz w:val="32"/>
          <w:szCs w:val="32"/>
        </w:rPr>
        <w:t>万元。</w:t>
      </w: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年公务用车保有量为</w:t>
      </w:r>
      <w:r>
        <w:rPr>
          <w:rFonts w:ascii="仿宋_GB2312" w:hAnsi="宋体" w:eastAsia="仿宋_GB2312" w:cs="仿宋_GB2312"/>
          <w:kern w:val="0"/>
          <w:sz w:val="32"/>
          <w:szCs w:val="32"/>
        </w:rPr>
        <w:t>22</w:t>
      </w:r>
      <w:r>
        <w:rPr>
          <w:rFonts w:hint="eastAsia" w:ascii="仿宋_GB2312" w:hAnsi="宋体" w:eastAsia="仿宋_GB2312" w:cs="仿宋_GB2312"/>
          <w:kern w:val="0"/>
          <w:sz w:val="32"/>
          <w:szCs w:val="32"/>
        </w:rPr>
        <w:t>辆。</w:t>
      </w:r>
      <w:r>
        <w:rPr>
          <w:rFonts w:ascii="仿宋_GB2312" w:hAnsi="宋体" w:eastAsia="仿宋_GB2312" w:cs="仿宋_GB2312"/>
          <w:kern w:val="0"/>
          <w:sz w:val="32"/>
          <w:szCs w:val="32"/>
        </w:rPr>
        <w:t xml:space="preserve"> </w:t>
      </w:r>
    </w:p>
    <w:p>
      <w:pPr>
        <w:autoSpaceDE w:val="0"/>
        <w:autoSpaceDN w:val="0"/>
        <w:adjustRightInd w:val="0"/>
        <w:spacing w:line="560" w:lineRule="exact"/>
        <w:ind w:firstLine="31680" w:firstLineChars="196"/>
        <w:jc w:val="left"/>
        <w:rPr>
          <w:rFonts w:ascii="仿宋_GB2312" w:hAnsi="宋体" w:eastAsia="仿宋_GB2312"/>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公务接待费支出</w:t>
      </w:r>
      <w:r>
        <w:rPr>
          <w:rFonts w:ascii="仿宋_GB2312" w:hAnsi="宋体" w:eastAsia="仿宋_GB2312" w:cs="仿宋_GB2312"/>
          <w:kern w:val="0"/>
          <w:sz w:val="32"/>
          <w:szCs w:val="32"/>
        </w:rPr>
        <w:t>4.11</w:t>
      </w:r>
      <w:r>
        <w:rPr>
          <w:rFonts w:hint="eastAsia" w:ascii="仿宋_GB2312" w:hAnsi="宋体" w:eastAsia="仿宋_GB2312" w:cs="仿宋_GB2312"/>
          <w:kern w:val="0"/>
          <w:sz w:val="32"/>
          <w:szCs w:val="32"/>
        </w:rPr>
        <w:t>万元，共计</w:t>
      </w:r>
      <w:r>
        <w:rPr>
          <w:rFonts w:ascii="仿宋_GB2312" w:hAnsi="宋体" w:eastAsia="仿宋_GB2312" w:cs="仿宋_GB2312"/>
          <w:kern w:val="0"/>
          <w:sz w:val="32"/>
          <w:szCs w:val="32"/>
        </w:rPr>
        <w:t>39</w:t>
      </w:r>
      <w:r>
        <w:rPr>
          <w:rFonts w:hint="eastAsia" w:ascii="仿宋_GB2312" w:hAnsi="宋体" w:eastAsia="仿宋_GB2312" w:cs="仿宋_GB2312"/>
          <w:kern w:val="0"/>
          <w:sz w:val="32"/>
          <w:szCs w:val="32"/>
        </w:rPr>
        <w:t>批次。</w:t>
      </w:r>
    </w:p>
    <w:p>
      <w:pPr>
        <w:spacing w:line="560" w:lineRule="exact"/>
        <w:ind w:firstLine="31680" w:firstLineChars="200"/>
        <w:outlineLvl w:val="1"/>
        <w:rPr>
          <w:rFonts w:ascii="黑体" w:hAnsi="宋体" w:eastAsia="黑体"/>
          <w:kern w:val="0"/>
          <w:sz w:val="32"/>
          <w:szCs w:val="32"/>
        </w:rPr>
      </w:pPr>
      <w:r>
        <w:rPr>
          <w:rFonts w:hint="eastAsia" w:ascii="黑体" w:hAnsi="宋体" w:eastAsia="黑体" w:cs="黑体"/>
          <w:kern w:val="0"/>
          <w:sz w:val="32"/>
          <w:szCs w:val="32"/>
        </w:rPr>
        <w:t>八、关于</w:t>
      </w:r>
      <w:r>
        <w:rPr>
          <w:rFonts w:ascii="黑体" w:hAnsi="宋体" w:eastAsia="黑体" w:cs="黑体"/>
          <w:kern w:val="0"/>
          <w:sz w:val="32"/>
          <w:szCs w:val="32"/>
        </w:rPr>
        <w:t>2016</w:t>
      </w:r>
      <w:r>
        <w:rPr>
          <w:rFonts w:hint="eastAsia" w:ascii="黑体" w:hAnsi="宋体" w:eastAsia="黑体" w:cs="黑体"/>
          <w:kern w:val="0"/>
          <w:sz w:val="32"/>
          <w:szCs w:val="32"/>
        </w:rPr>
        <w:t>年度政府性基金预算财政拨款收入支出决算情况说明</w:t>
      </w:r>
    </w:p>
    <w:p>
      <w:pPr>
        <w:pStyle w:val="9"/>
        <w:spacing w:line="560" w:lineRule="exact"/>
        <w:ind w:firstLine="31680" w:firstLineChars="200"/>
        <w:rPr>
          <w:rFonts w:ascii="仿宋_GB2312" w:hAnsi="宋体" w:eastAsia="仿宋_GB2312" w:cs="仿宋_GB2312"/>
          <w:color w:val="auto"/>
          <w:sz w:val="32"/>
          <w:szCs w:val="32"/>
        </w:rPr>
      </w:pPr>
      <w:r>
        <w:rPr>
          <w:rFonts w:ascii="仿宋_GB2312" w:hAnsi="宋体" w:eastAsia="仿宋_GB2312" w:cs="仿宋_GB2312"/>
          <w:color w:val="auto"/>
          <w:sz w:val="32"/>
          <w:szCs w:val="32"/>
        </w:rPr>
        <w:t>2016</w:t>
      </w:r>
      <w:r>
        <w:rPr>
          <w:rFonts w:hint="eastAsia" w:ascii="仿宋_GB2312" w:hAnsi="宋体" w:eastAsia="仿宋_GB2312" w:cs="仿宋_GB2312"/>
          <w:color w:val="auto"/>
          <w:sz w:val="32"/>
          <w:szCs w:val="32"/>
        </w:rPr>
        <w:t>年度政府性基金预算财政拨款本年收入</w:t>
      </w:r>
      <w:r>
        <w:rPr>
          <w:rFonts w:ascii="仿宋_GB2312" w:hAnsi="宋体" w:eastAsia="仿宋_GB2312" w:cs="仿宋_GB2312"/>
          <w:color w:val="auto"/>
          <w:sz w:val="32"/>
          <w:szCs w:val="32"/>
        </w:rPr>
        <w:t>0</w:t>
      </w:r>
      <w:r>
        <w:rPr>
          <w:rFonts w:hint="eastAsia" w:ascii="仿宋_GB2312" w:hAnsi="宋体" w:eastAsia="仿宋_GB2312" w:cs="仿宋_GB2312"/>
          <w:color w:val="auto"/>
          <w:sz w:val="32"/>
          <w:szCs w:val="32"/>
        </w:rPr>
        <w:t>万元。</w:t>
      </w:r>
      <w:r>
        <w:rPr>
          <w:rFonts w:ascii="仿宋_GB2312" w:hAnsi="宋体" w:eastAsia="仿宋_GB2312" w:cs="仿宋_GB2312"/>
          <w:color w:val="auto"/>
          <w:sz w:val="32"/>
          <w:szCs w:val="32"/>
        </w:rPr>
        <w:t xml:space="preserve"> </w:t>
      </w:r>
    </w:p>
    <w:p>
      <w:pPr>
        <w:spacing w:line="560" w:lineRule="exact"/>
        <w:ind w:firstLine="31680" w:firstLineChars="200"/>
        <w:outlineLvl w:val="1"/>
        <w:rPr>
          <w:rFonts w:ascii="仿宋_GB2312" w:hAnsi="宋体" w:eastAsia="仿宋_GB2312"/>
          <w:kern w:val="0"/>
          <w:sz w:val="32"/>
          <w:szCs w:val="32"/>
          <w:highlight w:val="yellow"/>
        </w:rPr>
      </w:pPr>
      <w:r>
        <w:rPr>
          <w:rFonts w:hint="eastAsia" w:ascii="黑体" w:hAnsi="宋体" w:eastAsia="黑体" w:cs="黑体"/>
          <w:kern w:val="0"/>
          <w:sz w:val="32"/>
          <w:szCs w:val="32"/>
        </w:rPr>
        <w:t>九、其他重要事项的情况说明</w:t>
      </w:r>
    </w:p>
    <w:p>
      <w:pPr>
        <w:spacing w:line="560" w:lineRule="exact"/>
        <w:ind w:firstLine="31680" w:firstLineChars="200"/>
        <w:outlineLvl w:val="1"/>
        <w:rPr>
          <w:rFonts w:ascii="楷体_GB2312" w:hAnsi="宋体" w:eastAsia="楷体_GB2312"/>
          <w:b/>
          <w:bCs/>
          <w:kern w:val="0"/>
          <w:sz w:val="32"/>
          <w:szCs w:val="32"/>
        </w:rPr>
      </w:pPr>
      <w:r>
        <w:rPr>
          <w:rFonts w:hint="eastAsia" w:ascii="楷体_GB2312" w:hAnsi="宋体" w:eastAsia="楷体_GB2312" w:cs="楷体_GB2312"/>
          <w:b/>
          <w:bCs/>
          <w:kern w:val="0"/>
          <w:sz w:val="32"/>
          <w:szCs w:val="32"/>
        </w:rPr>
        <w:t>（一）政府采购情况说明</w:t>
      </w:r>
    </w:p>
    <w:p>
      <w:pPr>
        <w:widowControl/>
        <w:spacing w:line="560" w:lineRule="exact"/>
        <w:ind w:firstLine="31680" w:firstLineChars="200"/>
        <w:jc w:val="left"/>
        <w:rPr>
          <w:rFonts w:ascii="仿宋_GB2312" w:hAnsi="宋体" w:eastAsia="仿宋_GB2312"/>
          <w:kern w:val="0"/>
          <w:sz w:val="32"/>
          <w:szCs w:val="32"/>
        </w:rPr>
      </w:pP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年，我院政府采购预算</w:t>
      </w:r>
      <w:r>
        <w:rPr>
          <w:rFonts w:ascii="仿宋_GB2312" w:hAnsi="宋体" w:eastAsia="仿宋_GB2312" w:cs="仿宋_GB2312"/>
          <w:kern w:val="0"/>
          <w:sz w:val="32"/>
          <w:szCs w:val="32"/>
        </w:rPr>
        <w:t>23975.07</w:t>
      </w:r>
      <w:r>
        <w:rPr>
          <w:rFonts w:hint="eastAsia" w:ascii="仿宋_GB2312" w:hAnsi="宋体" w:eastAsia="仿宋_GB2312" w:cs="仿宋_GB2312"/>
          <w:kern w:val="0"/>
          <w:sz w:val="32"/>
          <w:szCs w:val="32"/>
        </w:rPr>
        <w:t>万元，支出决算总额</w:t>
      </w:r>
      <w:r>
        <w:rPr>
          <w:rFonts w:ascii="仿宋_GB2312" w:hAnsi="宋体" w:eastAsia="仿宋_GB2312" w:cs="仿宋_GB2312"/>
          <w:kern w:val="0"/>
          <w:sz w:val="32"/>
          <w:szCs w:val="32"/>
        </w:rPr>
        <w:t>23720.63</w:t>
      </w:r>
      <w:r>
        <w:rPr>
          <w:rFonts w:hint="eastAsia" w:ascii="仿宋_GB2312" w:hAnsi="宋体" w:eastAsia="仿宋_GB2312" w:cs="仿宋_GB2312"/>
          <w:kern w:val="0"/>
          <w:sz w:val="32"/>
          <w:szCs w:val="32"/>
        </w:rPr>
        <w:t>万元，完成年初预算的</w:t>
      </w:r>
      <w:r>
        <w:rPr>
          <w:rFonts w:ascii="仿宋_GB2312" w:hAnsi="宋体" w:eastAsia="仿宋_GB2312" w:cs="仿宋_GB2312"/>
          <w:kern w:val="0"/>
          <w:sz w:val="32"/>
          <w:szCs w:val="32"/>
        </w:rPr>
        <w:t>98.94%</w:t>
      </w:r>
      <w:r>
        <w:rPr>
          <w:rFonts w:hint="eastAsia" w:ascii="仿宋_GB2312" w:hAnsi="宋体" w:eastAsia="仿宋_GB2312" w:cs="仿宋_GB2312"/>
          <w:kern w:val="0"/>
          <w:sz w:val="32"/>
          <w:szCs w:val="32"/>
        </w:rPr>
        <w:t>。其中：政府采购货物预算</w:t>
      </w:r>
      <w:r>
        <w:rPr>
          <w:rFonts w:ascii="仿宋_GB2312" w:hAnsi="宋体" w:eastAsia="仿宋_GB2312" w:cs="仿宋_GB2312"/>
          <w:kern w:val="0"/>
          <w:sz w:val="32"/>
          <w:szCs w:val="32"/>
        </w:rPr>
        <w:t>6041.03</w:t>
      </w:r>
      <w:r>
        <w:rPr>
          <w:rFonts w:hint="eastAsia" w:ascii="仿宋_GB2312" w:hAnsi="宋体" w:eastAsia="仿宋_GB2312" w:cs="仿宋_GB2312"/>
          <w:kern w:val="0"/>
          <w:sz w:val="32"/>
          <w:szCs w:val="32"/>
        </w:rPr>
        <w:t>万元，支出决算总额</w:t>
      </w:r>
      <w:r>
        <w:rPr>
          <w:rFonts w:ascii="仿宋_GB2312" w:hAnsi="宋体" w:eastAsia="仿宋_GB2312" w:cs="仿宋_GB2312"/>
          <w:kern w:val="0"/>
          <w:sz w:val="32"/>
          <w:szCs w:val="32"/>
        </w:rPr>
        <w:t>6521.58</w:t>
      </w:r>
      <w:r>
        <w:rPr>
          <w:rFonts w:hint="eastAsia" w:ascii="仿宋_GB2312" w:hAnsi="宋体" w:eastAsia="仿宋_GB2312" w:cs="仿宋_GB2312"/>
          <w:kern w:val="0"/>
          <w:sz w:val="32"/>
          <w:szCs w:val="32"/>
        </w:rPr>
        <w:t>万元，完成年初预算的</w:t>
      </w:r>
      <w:r>
        <w:rPr>
          <w:rFonts w:ascii="仿宋_GB2312" w:hAnsi="宋体" w:eastAsia="仿宋_GB2312" w:cs="仿宋_GB2312"/>
          <w:kern w:val="0"/>
          <w:sz w:val="32"/>
          <w:szCs w:val="32"/>
        </w:rPr>
        <w:t>107.95%</w:t>
      </w:r>
      <w:r>
        <w:rPr>
          <w:rFonts w:hint="eastAsia" w:ascii="仿宋_GB2312" w:hAnsi="宋体" w:eastAsia="仿宋_GB2312" w:cs="仿宋_GB2312"/>
          <w:kern w:val="0"/>
          <w:sz w:val="32"/>
          <w:szCs w:val="32"/>
        </w:rPr>
        <w:t>。政府采购工程预算</w:t>
      </w:r>
      <w:r>
        <w:rPr>
          <w:rFonts w:ascii="仿宋_GB2312" w:hAnsi="宋体" w:eastAsia="仿宋_GB2312" w:cs="仿宋_GB2312"/>
          <w:kern w:val="0"/>
          <w:sz w:val="32"/>
          <w:szCs w:val="32"/>
        </w:rPr>
        <w:t>16183.49</w:t>
      </w:r>
      <w:r>
        <w:rPr>
          <w:rFonts w:hint="eastAsia" w:ascii="仿宋_GB2312" w:hAnsi="宋体" w:eastAsia="仿宋_GB2312" w:cs="仿宋_GB2312"/>
          <w:kern w:val="0"/>
          <w:sz w:val="32"/>
          <w:szCs w:val="32"/>
        </w:rPr>
        <w:t>万元，支出决算总额</w:t>
      </w:r>
      <w:r>
        <w:rPr>
          <w:rFonts w:ascii="仿宋_GB2312" w:hAnsi="宋体" w:eastAsia="仿宋_GB2312" w:cs="仿宋_GB2312"/>
          <w:kern w:val="0"/>
          <w:sz w:val="32"/>
          <w:szCs w:val="32"/>
        </w:rPr>
        <w:t>15785.44</w:t>
      </w:r>
      <w:r>
        <w:rPr>
          <w:rFonts w:hint="eastAsia" w:ascii="仿宋_GB2312" w:hAnsi="宋体" w:eastAsia="仿宋_GB2312" w:cs="仿宋_GB2312"/>
          <w:kern w:val="0"/>
          <w:sz w:val="32"/>
          <w:szCs w:val="32"/>
        </w:rPr>
        <w:t>万元，完成年初预算的</w:t>
      </w:r>
      <w:r>
        <w:rPr>
          <w:rFonts w:ascii="仿宋_GB2312" w:hAnsi="宋体" w:eastAsia="仿宋_GB2312" w:cs="仿宋_GB2312"/>
          <w:kern w:val="0"/>
          <w:sz w:val="32"/>
          <w:szCs w:val="32"/>
        </w:rPr>
        <w:t>97.54%</w:t>
      </w:r>
      <w:r>
        <w:rPr>
          <w:rFonts w:hint="eastAsia" w:ascii="仿宋_GB2312" w:hAnsi="宋体" w:eastAsia="仿宋_GB2312" w:cs="仿宋_GB2312"/>
          <w:kern w:val="0"/>
          <w:sz w:val="32"/>
          <w:szCs w:val="32"/>
        </w:rPr>
        <w:t>。政府采购服务预算</w:t>
      </w:r>
      <w:r>
        <w:rPr>
          <w:rFonts w:ascii="仿宋_GB2312" w:hAnsi="宋体" w:eastAsia="仿宋_GB2312" w:cs="仿宋_GB2312"/>
          <w:kern w:val="0"/>
          <w:sz w:val="32"/>
          <w:szCs w:val="32"/>
        </w:rPr>
        <w:t>1750.55</w:t>
      </w:r>
      <w:r>
        <w:rPr>
          <w:rFonts w:hint="eastAsia" w:ascii="仿宋_GB2312" w:hAnsi="宋体" w:eastAsia="仿宋_GB2312" w:cs="仿宋_GB2312"/>
          <w:kern w:val="0"/>
          <w:sz w:val="32"/>
          <w:szCs w:val="32"/>
        </w:rPr>
        <w:t>万元，支出决算总额</w:t>
      </w:r>
      <w:r>
        <w:rPr>
          <w:rFonts w:ascii="仿宋_GB2312" w:hAnsi="宋体" w:eastAsia="仿宋_GB2312" w:cs="仿宋_GB2312"/>
          <w:kern w:val="0"/>
          <w:sz w:val="32"/>
          <w:szCs w:val="32"/>
        </w:rPr>
        <w:t>1413.62</w:t>
      </w:r>
      <w:r>
        <w:rPr>
          <w:rFonts w:hint="eastAsia" w:ascii="仿宋_GB2312" w:hAnsi="宋体" w:eastAsia="仿宋_GB2312" w:cs="仿宋_GB2312"/>
          <w:kern w:val="0"/>
          <w:sz w:val="32"/>
          <w:szCs w:val="32"/>
        </w:rPr>
        <w:t>万元，完成年初预算的</w:t>
      </w:r>
      <w:r>
        <w:rPr>
          <w:rFonts w:ascii="仿宋_GB2312" w:hAnsi="宋体" w:eastAsia="仿宋_GB2312" w:cs="仿宋_GB2312"/>
          <w:kern w:val="0"/>
          <w:sz w:val="32"/>
          <w:szCs w:val="32"/>
        </w:rPr>
        <w:t>80.75%</w:t>
      </w:r>
      <w:r>
        <w:rPr>
          <w:rFonts w:hint="eastAsia" w:ascii="仿宋_GB2312" w:hAnsi="宋体" w:eastAsia="仿宋_GB2312" w:cs="仿宋_GB2312"/>
          <w:kern w:val="0"/>
          <w:sz w:val="32"/>
          <w:szCs w:val="32"/>
        </w:rPr>
        <w:t>。</w:t>
      </w:r>
    </w:p>
    <w:p>
      <w:pPr>
        <w:spacing w:line="560" w:lineRule="exact"/>
        <w:ind w:firstLine="31680" w:firstLineChars="200"/>
        <w:outlineLvl w:val="1"/>
        <w:rPr>
          <w:rFonts w:ascii="楷体_GB2312" w:hAnsi="宋体" w:eastAsia="楷体_GB2312"/>
          <w:b/>
          <w:bCs/>
          <w:kern w:val="0"/>
          <w:sz w:val="32"/>
          <w:szCs w:val="32"/>
        </w:rPr>
      </w:pPr>
      <w:r>
        <w:rPr>
          <w:rFonts w:hint="eastAsia" w:ascii="楷体_GB2312" w:hAnsi="宋体" w:eastAsia="楷体_GB2312" w:cs="楷体_GB2312"/>
          <w:b/>
          <w:bCs/>
          <w:kern w:val="0"/>
          <w:sz w:val="32"/>
          <w:szCs w:val="32"/>
        </w:rPr>
        <w:t>（二）国有资产占有使用情况说明</w:t>
      </w:r>
    </w:p>
    <w:p>
      <w:pPr>
        <w:widowControl/>
        <w:spacing w:line="560" w:lineRule="exact"/>
        <w:ind w:firstLine="480"/>
        <w:jc w:val="left"/>
        <w:rPr>
          <w:rFonts w:ascii="仿宋_GB2312" w:hAnsi="宋体" w:eastAsia="仿宋_GB2312"/>
          <w:kern w:val="0"/>
          <w:sz w:val="32"/>
          <w:szCs w:val="32"/>
        </w:rPr>
      </w:pPr>
      <w:r>
        <w:rPr>
          <w:rFonts w:hint="eastAsia" w:ascii="仿宋_GB2312" w:hAnsi="宋体" w:eastAsia="仿宋_GB2312" w:cs="仿宋_GB2312"/>
          <w:kern w:val="0"/>
          <w:sz w:val="32"/>
          <w:szCs w:val="32"/>
        </w:rPr>
        <w:t>截至</w:t>
      </w:r>
      <w:r>
        <w:rPr>
          <w:rFonts w:ascii="仿宋_GB2312" w:hAnsi="宋体" w:eastAsia="仿宋_GB2312" w:cs="仿宋_GB2312"/>
          <w:kern w:val="0"/>
          <w:sz w:val="32"/>
          <w:szCs w:val="32"/>
        </w:rPr>
        <w:t>2016</w:t>
      </w:r>
      <w:r>
        <w:rPr>
          <w:rFonts w:hint="eastAsia" w:ascii="仿宋_GB2312" w:hAnsi="宋体" w:eastAsia="仿宋_GB2312" w:cs="仿宋_GB2312"/>
          <w:kern w:val="0"/>
          <w:sz w:val="32"/>
          <w:szCs w:val="32"/>
        </w:rPr>
        <w:t>年</w:t>
      </w: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月</w:t>
      </w:r>
      <w:r>
        <w:rPr>
          <w:rFonts w:ascii="仿宋_GB2312" w:hAnsi="宋体" w:eastAsia="仿宋_GB2312" w:cs="仿宋_GB2312"/>
          <w:kern w:val="0"/>
          <w:sz w:val="32"/>
          <w:szCs w:val="32"/>
        </w:rPr>
        <w:t>31</w:t>
      </w:r>
      <w:r>
        <w:rPr>
          <w:rFonts w:hint="eastAsia" w:ascii="仿宋_GB2312" w:hAnsi="宋体" w:eastAsia="仿宋_GB2312" w:cs="仿宋_GB2312"/>
          <w:kern w:val="0"/>
          <w:sz w:val="32"/>
          <w:szCs w:val="32"/>
        </w:rPr>
        <w:t>日，医院房屋面积</w:t>
      </w:r>
      <w:r>
        <w:rPr>
          <w:rFonts w:ascii="仿宋_GB2312" w:hAnsi="宋体" w:eastAsia="仿宋_GB2312" w:cs="仿宋_GB2312"/>
          <w:kern w:val="0"/>
          <w:sz w:val="32"/>
          <w:szCs w:val="32"/>
        </w:rPr>
        <w:t>215880.48</w:t>
      </w:r>
      <w:r>
        <w:rPr>
          <w:rFonts w:hint="eastAsia" w:ascii="仿宋_GB2312" w:hAnsi="宋体" w:eastAsia="仿宋_GB2312" w:cs="仿宋_GB2312"/>
          <w:kern w:val="0"/>
          <w:sz w:val="32"/>
          <w:szCs w:val="32"/>
        </w:rPr>
        <w:t>平方米，车辆</w:t>
      </w:r>
      <w:r>
        <w:rPr>
          <w:rFonts w:ascii="仿宋_GB2312" w:hAnsi="宋体" w:eastAsia="仿宋_GB2312" w:cs="仿宋_GB2312"/>
          <w:kern w:val="0"/>
          <w:sz w:val="32"/>
          <w:szCs w:val="32"/>
        </w:rPr>
        <w:t>22</w:t>
      </w:r>
      <w:r>
        <w:rPr>
          <w:rFonts w:hint="eastAsia" w:ascii="仿宋_GB2312" w:hAnsi="宋体" w:eastAsia="仿宋_GB2312" w:cs="仿宋_GB2312"/>
          <w:kern w:val="0"/>
          <w:sz w:val="32"/>
          <w:szCs w:val="32"/>
        </w:rPr>
        <w:t>辆，其中一般公务用车</w:t>
      </w:r>
      <w:r>
        <w:rPr>
          <w:rFonts w:ascii="仿宋_GB2312" w:hAnsi="宋体" w:eastAsia="仿宋_GB2312" w:cs="仿宋_GB2312"/>
          <w:kern w:val="0"/>
          <w:sz w:val="32"/>
          <w:szCs w:val="32"/>
        </w:rPr>
        <w:t>22</w:t>
      </w:r>
      <w:r>
        <w:rPr>
          <w:rFonts w:hint="eastAsia" w:ascii="仿宋_GB2312" w:hAnsi="宋体" w:eastAsia="仿宋_GB2312" w:cs="仿宋_GB2312"/>
          <w:kern w:val="0"/>
          <w:sz w:val="32"/>
          <w:szCs w:val="32"/>
        </w:rPr>
        <w:t>辆；单价</w:t>
      </w:r>
      <w:r>
        <w:rPr>
          <w:rFonts w:ascii="仿宋_GB2312" w:hAnsi="宋体" w:eastAsia="仿宋_GB2312" w:cs="仿宋_GB2312"/>
          <w:kern w:val="0"/>
          <w:sz w:val="32"/>
          <w:szCs w:val="32"/>
        </w:rPr>
        <w:t>50</w:t>
      </w:r>
      <w:r>
        <w:rPr>
          <w:rFonts w:hint="eastAsia" w:ascii="仿宋_GB2312" w:hAnsi="宋体" w:eastAsia="仿宋_GB2312" w:cs="仿宋_GB2312"/>
          <w:kern w:val="0"/>
          <w:sz w:val="32"/>
          <w:szCs w:val="32"/>
        </w:rPr>
        <w:t>万元以上通用设备</w:t>
      </w:r>
      <w:r>
        <w:rPr>
          <w:rFonts w:ascii="仿宋_GB2312" w:hAnsi="宋体" w:eastAsia="仿宋_GB2312" w:cs="仿宋_GB2312"/>
          <w:kern w:val="0"/>
          <w:sz w:val="32"/>
          <w:szCs w:val="32"/>
        </w:rPr>
        <w:t>34</w:t>
      </w:r>
      <w:r>
        <w:rPr>
          <w:rFonts w:hint="eastAsia" w:ascii="仿宋_GB2312" w:hAnsi="宋体" w:eastAsia="仿宋_GB2312" w:cs="仿宋_GB2312"/>
          <w:kern w:val="0"/>
          <w:sz w:val="32"/>
          <w:szCs w:val="32"/>
        </w:rPr>
        <w:t>台（套），单价</w:t>
      </w:r>
      <w:r>
        <w:rPr>
          <w:rFonts w:ascii="仿宋_GB2312" w:hAnsi="宋体" w:eastAsia="仿宋_GB2312" w:cs="仿宋_GB2312"/>
          <w:kern w:val="0"/>
          <w:sz w:val="32"/>
          <w:szCs w:val="32"/>
        </w:rPr>
        <w:t>100</w:t>
      </w:r>
      <w:r>
        <w:rPr>
          <w:rFonts w:hint="eastAsia" w:ascii="仿宋_GB2312" w:hAnsi="宋体" w:eastAsia="仿宋_GB2312" w:cs="仿宋_GB2312"/>
          <w:kern w:val="0"/>
          <w:sz w:val="32"/>
          <w:szCs w:val="32"/>
        </w:rPr>
        <w:t>万元以上专用设备</w:t>
      </w:r>
      <w:r>
        <w:rPr>
          <w:rFonts w:ascii="仿宋_GB2312" w:hAnsi="宋体" w:eastAsia="仿宋_GB2312" w:cs="仿宋_GB2312"/>
          <w:kern w:val="0"/>
          <w:sz w:val="32"/>
          <w:szCs w:val="32"/>
        </w:rPr>
        <w:t>107</w:t>
      </w:r>
      <w:r>
        <w:rPr>
          <w:rFonts w:hint="eastAsia" w:ascii="仿宋_GB2312" w:hAnsi="宋体" w:eastAsia="仿宋_GB2312" w:cs="仿宋_GB2312"/>
          <w:kern w:val="0"/>
          <w:sz w:val="32"/>
          <w:szCs w:val="32"/>
        </w:rPr>
        <w:t>台（套）。</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微软雅黑">
    <w:panose1 w:val="020B0503020204020204"/>
    <w:charset w:val="86"/>
    <w:family w:val="roman"/>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isplayBackgroundShape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41BE"/>
    <w:rsid w:val="00034CEF"/>
    <w:rsid w:val="00042B6A"/>
    <w:rsid w:val="00064420"/>
    <w:rsid w:val="00094652"/>
    <w:rsid w:val="00133A69"/>
    <w:rsid w:val="001419AD"/>
    <w:rsid w:val="00150C21"/>
    <w:rsid w:val="00167ABF"/>
    <w:rsid w:val="00192855"/>
    <w:rsid w:val="001A4DD8"/>
    <w:rsid w:val="001A69DD"/>
    <w:rsid w:val="001F465A"/>
    <w:rsid w:val="001F6AE1"/>
    <w:rsid w:val="00205953"/>
    <w:rsid w:val="00206473"/>
    <w:rsid w:val="002E65D0"/>
    <w:rsid w:val="00310D0E"/>
    <w:rsid w:val="003349B7"/>
    <w:rsid w:val="00335902"/>
    <w:rsid w:val="00345AF8"/>
    <w:rsid w:val="00362AD3"/>
    <w:rsid w:val="00390556"/>
    <w:rsid w:val="003C6E62"/>
    <w:rsid w:val="003E5F27"/>
    <w:rsid w:val="0040486C"/>
    <w:rsid w:val="00416691"/>
    <w:rsid w:val="004314F5"/>
    <w:rsid w:val="004315FC"/>
    <w:rsid w:val="004475C4"/>
    <w:rsid w:val="0049118A"/>
    <w:rsid w:val="00494D63"/>
    <w:rsid w:val="004A5D46"/>
    <w:rsid w:val="004A6C45"/>
    <w:rsid w:val="004D49BA"/>
    <w:rsid w:val="004F71A4"/>
    <w:rsid w:val="005335A7"/>
    <w:rsid w:val="00550848"/>
    <w:rsid w:val="0056467B"/>
    <w:rsid w:val="00567D42"/>
    <w:rsid w:val="00587F89"/>
    <w:rsid w:val="0059003E"/>
    <w:rsid w:val="005F73FC"/>
    <w:rsid w:val="005F7E00"/>
    <w:rsid w:val="00601780"/>
    <w:rsid w:val="0062788E"/>
    <w:rsid w:val="0065016A"/>
    <w:rsid w:val="006841BE"/>
    <w:rsid w:val="006973BB"/>
    <w:rsid w:val="006A374A"/>
    <w:rsid w:val="006A6DF2"/>
    <w:rsid w:val="006B546E"/>
    <w:rsid w:val="006C3708"/>
    <w:rsid w:val="00702BED"/>
    <w:rsid w:val="00792284"/>
    <w:rsid w:val="007C2198"/>
    <w:rsid w:val="0080452A"/>
    <w:rsid w:val="00832F0F"/>
    <w:rsid w:val="00840211"/>
    <w:rsid w:val="0084547F"/>
    <w:rsid w:val="00860F0E"/>
    <w:rsid w:val="0087115F"/>
    <w:rsid w:val="00875176"/>
    <w:rsid w:val="00886FCD"/>
    <w:rsid w:val="008A6126"/>
    <w:rsid w:val="008C1DD5"/>
    <w:rsid w:val="008F0082"/>
    <w:rsid w:val="00901CBB"/>
    <w:rsid w:val="009205FB"/>
    <w:rsid w:val="00942FD7"/>
    <w:rsid w:val="009703B4"/>
    <w:rsid w:val="00996822"/>
    <w:rsid w:val="009C0DCF"/>
    <w:rsid w:val="009C5B1B"/>
    <w:rsid w:val="009F49F1"/>
    <w:rsid w:val="009F7272"/>
    <w:rsid w:val="00A47DCA"/>
    <w:rsid w:val="00A64B65"/>
    <w:rsid w:val="00AD7B21"/>
    <w:rsid w:val="00AE6856"/>
    <w:rsid w:val="00B017DE"/>
    <w:rsid w:val="00B268C6"/>
    <w:rsid w:val="00B301F9"/>
    <w:rsid w:val="00B56878"/>
    <w:rsid w:val="00B75C8E"/>
    <w:rsid w:val="00B814C9"/>
    <w:rsid w:val="00BA21B3"/>
    <w:rsid w:val="00BD34BA"/>
    <w:rsid w:val="00C12217"/>
    <w:rsid w:val="00C14E87"/>
    <w:rsid w:val="00C303F0"/>
    <w:rsid w:val="00C411F6"/>
    <w:rsid w:val="00C81814"/>
    <w:rsid w:val="00C95264"/>
    <w:rsid w:val="00CD74EF"/>
    <w:rsid w:val="00CF6006"/>
    <w:rsid w:val="00D2660F"/>
    <w:rsid w:val="00D55A1D"/>
    <w:rsid w:val="00D84AA6"/>
    <w:rsid w:val="00D960CB"/>
    <w:rsid w:val="00DA1C20"/>
    <w:rsid w:val="00DB5E70"/>
    <w:rsid w:val="00DB64C0"/>
    <w:rsid w:val="00DE3991"/>
    <w:rsid w:val="00DE6F3A"/>
    <w:rsid w:val="00DF74A2"/>
    <w:rsid w:val="00E01560"/>
    <w:rsid w:val="00E11D40"/>
    <w:rsid w:val="00E17738"/>
    <w:rsid w:val="00E278C7"/>
    <w:rsid w:val="00E703DE"/>
    <w:rsid w:val="00EA1099"/>
    <w:rsid w:val="00EB205A"/>
    <w:rsid w:val="00EE64B1"/>
    <w:rsid w:val="00F04C73"/>
    <w:rsid w:val="00F52DFC"/>
    <w:rsid w:val="00F76FA7"/>
    <w:rsid w:val="00FA2EAB"/>
    <w:rsid w:val="00FB5A47"/>
    <w:rsid w:val="00FD49AD"/>
    <w:rsid w:val="00FF1E3F"/>
    <w:rsid w:val="00FF7B17"/>
    <w:rsid w:val="3525336B"/>
    <w:rsid w:val="64497FB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99"/>
  </w:style>
  <w:style w:type="character" w:customStyle="1" w:styleId="7">
    <w:name w:val="Header Char"/>
    <w:basedOn w:val="4"/>
    <w:link w:val="3"/>
    <w:semiHidden/>
    <w:locked/>
    <w:uiPriority w:val="99"/>
    <w:rPr>
      <w:sz w:val="18"/>
      <w:szCs w:val="18"/>
    </w:rPr>
  </w:style>
  <w:style w:type="character" w:customStyle="1" w:styleId="8">
    <w:name w:val="Footer Char"/>
    <w:basedOn w:val="4"/>
    <w:link w:val="2"/>
    <w:semiHidden/>
    <w:locked/>
    <w:uiPriority w:val="99"/>
    <w:rPr>
      <w:sz w:val="18"/>
      <w:szCs w:val="18"/>
    </w:rPr>
  </w:style>
  <w:style w:type="paragraph" w:customStyle="1" w:styleId="9">
    <w:name w:val="Defaul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信息中心</Company>
  <Pages>22</Pages>
  <Words>2083</Words>
  <Characters>11878</Characters>
  <Lines>0</Lines>
  <Paragraphs>0</Paragraphs>
  <TotalTime>0</TotalTime>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2017-08-21T07:02:00Z</dcterms:created>
  <dc:creator>nxrmyy</dc:creator>
  <cp:lastModifiedBy>Administrator</cp:lastModifiedBy>
  <dcterms:modified xsi:type="dcterms:W3CDTF">2017-08-31T09:51:52Z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